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320AE" w14:textId="2EF31C26" w:rsidR="001B341B" w:rsidRPr="00D719B6" w:rsidRDefault="006E48E0" w:rsidP="00A1575C">
      <w:pPr>
        <w:pStyle w:val="IOPTitle"/>
        <w:spacing w:after="360"/>
        <w:rPr>
          <w:rFonts w:asciiTheme="minorHAnsi" w:hAnsiTheme="minorHAnsi" w:cstheme="minorHAnsi"/>
        </w:rPr>
      </w:pPr>
      <w:r>
        <w:rPr>
          <w:rStyle w:val="IOPTitleChar"/>
          <w:rFonts w:asciiTheme="minorHAnsi" w:hAnsiTheme="minorHAnsi" w:cstheme="minorHAnsi"/>
          <w:b/>
        </w:rPr>
        <w:t>Necessity of ED-Based Outpatient Infusion Services as a Stewardship Program</w:t>
      </w:r>
    </w:p>
    <w:p w14:paraId="6C897B70" w14:textId="0959F389" w:rsidR="00D43152" w:rsidRPr="00D719B6" w:rsidRDefault="006E48E0" w:rsidP="00717D41">
      <w:pPr>
        <w:pStyle w:val="IOPAuthor"/>
        <w:spacing w:after="0"/>
        <w:rPr>
          <w:rFonts w:asciiTheme="minorHAnsi" w:hAnsiTheme="minorHAnsi" w:cstheme="minorHAnsi"/>
          <w:sz w:val="32"/>
          <w:szCs w:val="24"/>
          <w:vertAlign w:val="superscript"/>
        </w:rPr>
      </w:pPr>
      <w:r>
        <w:rPr>
          <w:rFonts w:asciiTheme="minorHAnsi" w:hAnsiTheme="minorHAnsi" w:cstheme="minorHAnsi"/>
          <w:sz w:val="32"/>
          <w:szCs w:val="24"/>
        </w:rPr>
        <w:t>Benjamin Mossholder, PharmD</w:t>
      </w:r>
    </w:p>
    <w:p w14:paraId="41BB6526" w14:textId="5DD8068E" w:rsidR="00D74B07" w:rsidRPr="00D719B6" w:rsidRDefault="006E48E0" w:rsidP="00717D41">
      <w:pPr>
        <w:pStyle w:val="IOPAff"/>
        <w:rPr>
          <w:rFonts w:asciiTheme="minorHAnsi" w:hAnsiTheme="minorHAnsi" w:cstheme="minorHAnsi"/>
          <w:sz w:val="32"/>
          <w:szCs w:val="24"/>
        </w:rPr>
      </w:pPr>
      <w:r>
        <w:rPr>
          <w:rFonts w:asciiTheme="minorHAnsi" w:hAnsiTheme="minorHAnsi" w:cstheme="minorHAnsi"/>
          <w:sz w:val="32"/>
          <w:szCs w:val="24"/>
        </w:rPr>
        <w:t>Renown Regional Medical Center, Reno, NV</w:t>
      </w:r>
    </w:p>
    <w:p w14:paraId="4946AE69" w14:textId="1BC00FA5" w:rsidR="00717D41" w:rsidRPr="00A975EF" w:rsidRDefault="00717D41" w:rsidP="00717D41">
      <w:pPr>
        <w:pStyle w:val="IOPAff"/>
        <w:rPr>
          <w:rFonts w:asciiTheme="minorHAnsi" w:hAnsiTheme="minorHAnsi" w:cstheme="minorHAnsi"/>
          <w:sz w:val="20"/>
          <w:szCs w:val="24"/>
        </w:rPr>
      </w:pPr>
    </w:p>
    <w:p w14:paraId="3224F28D" w14:textId="4AAF26D1" w:rsidR="00717D41" w:rsidRPr="00A975EF" w:rsidRDefault="006E48E0" w:rsidP="00717D41">
      <w:pPr>
        <w:pStyle w:val="IOPAff"/>
        <w:rPr>
          <w:rFonts w:asciiTheme="minorHAnsi" w:hAnsiTheme="minorHAnsi" w:cstheme="minorHAnsi"/>
          <w:b/>
          <w:sz w:val="20"/>
          <w:szCs w:val="24"/>
        </w:rPr>
      </w:pPr>
      <w:r>
        <w:rPr>
          <w:rFonts w:asciiTheme="minorHAnsi" w:hAnsiTheme="minorHAnsi" w:cstheme="minorHAnsi"/>
          <w:b/>
          <w:sz w:val="20"/>
          <w:szCs w:val="24"/>
        </w:rPr>
        <w:t>Heather Townsend, PharmD, BCEMP, BCPS</w:t>
      </w:r>
    </w:p>
    <w:p w14:paraId="4248822C" w14:textId="6D8144C6" w:rsidR="00D74B07" w:rsidRPr="00A975EF" w:rsidRDefault="006E48E0" w:rsidP="00D43152">
      <w:pPr>
        <w:pStyle w:val="IOPAff"/>
        <w:rPr>
          <w:rFonts w:asciiTheme="minorHAnsi" w:hAnsiTheme="minorHAnsi" w:cstheme="minorHAnsi"/>
          <w:sz w:val="20"/>
          <w:szCs w:val="24"/>
        </w:rPr>
      </w:pPr>
      <w:r>
        <w:rPr>
          <w:rFonts w:asciiTheme="minorHAnsi" w:hAnsiTheme="minorHAnsi" w:cstheme="minorHAnsi"/>
          <w:sz w:val="20"/>
          <w:szCs w:val="24"/>
        </w:rPr>
        <w:t>Renown Regional Medical Center, Reno, NV</w:t>
      </w:r>
    </w:p>
    <w:p w14:paraId="0D42C28F" w14:textId="0B5A5BC5" w:rsidR="00D719B6" w:rsidRPr="00A975EF" w:rsidRDefault="00D719B6" w:rsidP="00D43152">
      <w:pPr>
        <w:pStyle w:val="IOPAff"/>
        <w:rPr>
          <w:rFonts w:asciiTheme="minorHAnsi" w:hAnsiTheme="minorHAnsi" w:cstheme="minorHAnsi"/>
          <w:sz w:val="20"/>
          <w:szCs w:val="24"/>
        </w:rPr>
      </w:pPr>
    </w:p>
    <w:p w14:paraId="2090C7EB" w14:textId="15D700E2" w:rsidR="005B592F" w:rsidRPr="00A975EF" w:rsidRDefault="006E48E0" w:rsidP="005B592F">
      <w:pPr>
        <w:pStyle w:val="IOPAff"/>
        <w:rPr>
          <w:rFonts w:asciiTheme="minorHAnsi" w:hAnsiTheme="minorHAnsi" w:cstheme="minorHAnsi"/>
          <w:b/>
          <w:sz w:val="20"/>
          <w:szCs w:val="24"/>
        </w:rPr>
      </w:pPr>
      <w:r>
        <w:rPr>
          <w:rFonts w:asciiTheme="minorHAnsi" w:hAnsiTheme="minorHAnsi" w:cstheme="minorHAnsi"/>
          <w:b/>
          <w:sz w:val="20"/>
          <w:szCs w:val="24"/>
        </w:rPr>
        <w:t>Ian Ferrari, PharmD, BCPS</w:t>
      </w:r>
    </w:p>
    <w:p w14:paraId="538AF89D" w14:textId="77777777" w:rsidR="006E48E0" w:rsidRPr="00A975EF" w:rsidRDefault="006E48E0" w:rsidP="006E48E0">
      <w:pPr>
        <w:pStyle w:val="IOPAff"/>
        <w:rPr>
          <w:rFonts w:asciiTheme="minorHAnsi" w:hAnsiTheme="minorHAnsi" w:cstheme="minorHAnsi"/>
          <w:sz w:val="20"/>
          <w:szCs w:val="24"/>
        </w:rPr>
      </w:pPr>
      <w:r>
        <w:rPr>
          <w:rFonts w:asciiTheme="minorHAnsi" w:hAnsiTheme="minorHAnsi" w:cstheme="minorHAnsi"/>
          <w:sz w:val="20"/>
          <w:szCs w:val="24"/>
        </w:rPr>
        <w:t>Renown Regional Medical Center, Reno, NV</w:t>
      </w:r>
    </w:p>
    <w:p w14:paraId="72B6A560" w14:textId="3765E124" w:rsidR="00D74B07" w:rsidRPr="00A975EF" w:rsidRDefault="00D74B07" w:rsidP="00D74B07">
      <w:pPr>
        <w:pStyle w:val="IOPH1"/>
        <w:rPr>
          <w:rFonts w:asciiTheme="minorHAnsi" w:hAnsiTheme="minorHAnsi" w:cstheme="minorHAnsi"/>
          <w:sz w:val="24"/>
          <w:szCs w:val="20"/>
          <w:u w:val="single"/>
        </w:rPr>
      </w:pPr>
      <w:r w:rsidRPr="00A975EF">
        <w:rPr>
          <w:rFonts w:asciiTheme="minorHAnsi" w:hAnsiTheme="minorHAnsi" w:cstheme="minorHAnsi"/>
          <w:sz w:val="24"/>
          <w:szCs w:val="20"/>
          <w:u w:val="single"/>
        </w:rPr>
        <w:t>Abstract</w:t>
      </w:r>
      <w:r w:rsidR="00A975EF" w:rsidRPr="00A975EF">
        <w:rPr>
          <w:rFonts w:asciiTheme="minorHAnsi" w:hAnsiTheme="minorHAnsi" w:cstheme="minorHAnsi"/>
          <w:sz w:val="24"/>
          <w:szCs w:val="20"/>
          <w:u w:val="single"/>
        </w:rPr>
        <w:t>:</w:t>
      </w:r>
    </w:p>
    <w:p w14:paraId="743BB6CD" w14:textId="77777777" w:rsidR="00E00596" w:rsidRPr="00A975EF" w:rsidRDefault="000301B2" w:rsidP="001846C4">
      <w:pPr>
        <w:pStyle w:val="IOPAbsText"/>
        <w:ind w:right="12"/>
        <w:rPr>
          <w:b/>
          <w:bCs/>
          <w:noProof/>
          <w:szCs w:val="24"/>
        </w:rPr>
      </w:pPr>
      <w:r w:rsidRPr="00A975EF">
        <w:rPr>
          <w:b/>
          <w:bCs/>
          <w:noProof/>
          <w:szCs w:val="24"/>
        </w:rPr>
        <w:t>Background</w:t>
      </w:r>
      <w:r w:rsidR="00894AF3" w:rsidRPr="00A975EF">
        <w:rPr>
          <w:b/>
          <w:bCs/>
          <w:noProof/>
          <w:szCs w:val="24"/>
        </w:rPr>
        <w:t xml:space="preserve">  </w:t>
      </w:r>
    </w:p>
    <w:p w14:paraId="7D80E308" w14:textId="509D6C1D" w:rsidR="00894AF3" w:rsidRPr="00A975EF" w:rsidRDefault="006E48E0" w:rsidP="004E11FB">
      <w:pPr>
        <w:pStyle w:val="IOPAbsText"/>
        <w:spacing w:after="160"/>
        <w:ind w:right="14"/>
        <w:rPr>
          <w:noProof/>
          <w:sz w:val="18"/>
        </w:rPr>
      </w:pPr>
      <w:r>
        <w:t>Infusion centers</w:t>
      </w:r>
      <w:r w:rsidR="008C1791">
        <w:t xml:space="preserve"> provide longitudinal chronic disease management of numerous conditions. Emergency departments have experienced patient visits for receipt of normally infusion-center based care. The purpose of this study was t</w:t>
      </w:r>
      <w:r w:rsidR="008C1791" w:rsidRPr="008C1791">
        <w:t xml:space="preserve">o assess the necessity and feasibility of implementing an outpatient infusion service within the emergency department (ED) for when the institution’s outpatient infusion center is unavailable. </w:t>
      </w:r>
      <w:r>
        <w:t xml:space="preserve"> </w:t>
      </w:r>
    </w:p>
    <w:p w14:paraId="163FE323" w14:textId="77777777" w:rsidR="00E00596" w:rsidRPr="00A975EF" w:rsidRDefault="00894AF3" w:rsidP="00E249FB">
      <w:pPr>
        <w:pStyle w:val="IOPAbsText"/>
        <w:ind w:right="12"/>
        <w:rPr>
          <w:noProof/>
          <w:szCs w:val="24"/>
        </w:rPr>
      </w:pPr>
      <w:r w:rsidRPr="00A975EF">
        <w:rPr>
          <w:b/>
          <w:bCs/>
          <w:noProof/>
          <w:szCs w:val="24"/>
        </w:rPr>
        <w:t>Methods</w:t>
      </w:r>
      <w:r w:rsidRPr="00A975EF">
        <w:rPr>
          <w:noProof/>
          <w:szCs w:val="24"/>
        </w:rPr>
        <w:t xml:space="preserve">  </w:t>
      </w:r>
    </w:p>
    <w:p w14:paraId="330D07C4" w14:textId="10985700" w:rsidR="00894AF3" w:rsidRPr="00A975EF" w:rsidRDefault="008C1791" w:rsidP="004E11FB">
      <w:pPr>
        <w:pStyle w:val="IOPAbsText"/>
        <w:spacing w:after="160"/>
        <w:ind w:right="14"/>
        <w:rPr>
          <w:noProof/>
          <w:sz w:val="18"/>
        </w:rPr>
      </w:pPr>
      <w:r>
        <w:t xml:space="preserve">This was a retrospective, single-site chart review of patients seen in the ED or clinical decision unit (CDU) for </w:t>
      </w:r>
      <w:r w:rsidRPr="008C1791">
        <w:t xml:space="preserve">the sole purpose of being administered a medication or blood product from July 1, </w:t>
      </w:r>
      <w:proofErr w:type="gramStart"/>
      <w:r w:rsidRPr="008C1791">
        <w:t>2022</w:t>
      </w:r>
      <w:proofErr w:type="gramEnd"/>
      <w:r w:rsidRPr="008C1791">
        <w:t xml:space="preserve"> to June 30, 2023</w:t>
      </w:r>
      <w:r>
        <w:t xml:space="preserve">. </w:t>
      </w:r>
      <w:r w:rsidRPr="008C1791">
        <w:t>The primary outcome was quantification of total cost associated with the ED visits as compared to cost for an infusion center visit of the same type.</w:t>
      </w:r>
    </w:p>
    <w:p w14:paraId="289CFE8D" w14:textId="7151803F" w:rsidR="00894AF3" w:rsidRPr="00A975EF" w:rsidRDefault="00894AF3" w:rsidP="00D74B07">
      <w:pPr>
        <w:pStyle w:val="IOPAbsText"/>
        <w:rPr>
          <w:b/>
          <w:bCs/>
          <w:noProof/>
          <w:szCs w:val="24"/>
        </w:rPr>
      </w:pPr>
      <w:r w:rsidRPr="00A975EF">
        <w:rPr>
          <w:b/>
          <w:bCs/>
          <w:noProof/>
          <w:szCs w:val="24"/>
        </w:rPr>
        <w:t xml:space="preserve">Results  </w:t>
      </w:r>
    </w:p>
    <w:p w14:paraId="7A88DFAA" w14:textId="116F77C0" w:rsidR="00894AF3" w:rsidRPr="00A975EF" w:rsidRDefault="008C1791" w:rsidP="004E11FB">
      <w:pPr>
        <w:pStyle w:val="IOPAbsText"/>
        <w:spacing w:after="160"/>
        <w:ind w:right="14"/>
        <w:rPr>
          <w:noProof/>
          <w:szCs w:val="24"/>
        </w:rPr>
      </w:pPr>
      <w:r>
        <w:rPr>
          <w:noProof/>
          <w:szCs w:val="24"/>
        </w:rPr>
        <w:t xml:space="preserve">There were 90 administrations that met criteria during the study period. These administrations were associated with 86 separate ED encounters. </w:t>
      </w:r>
      <w:r>
        <w:t>The total estimated cost related to these encounters was $150,414.</w:t>
      </w:r>
      <w:r>
        <w:t xml:space="preserve"> </w:t>
      </w:r>
      <w:r>
        <w:t>The estimated cost for these administrations to occur in the infusion center setting was $45,990, totaling a potential cost savings of $104,424.</w:t>
      </w:r>
      <w:r>
        <w:t xml:space="preserve"> </w:t>
      </w:r>
      <w:r>
        <w:t>The most frequent reason for ED encounters related to these administrations was receipt of STI exposure treatment, rabies prophylaxis, and methotrexate administration for ectopic pregnancy which collectively comprised 92.2% of administrations.</w:t>
      </w:r>
    </w:p>
    <w:p w14:paraId="51CE5498" w14:textId="0194775C" w:rsidR="00894AF3" w:rsidRPr="00A975EF" w:rsidRDefault="00894AF3" w:rsidP="00D74B07">
      <w:pPr>
        <w:pStyle w:val="IOPAbsText"/>
        <w:rPr>
          <w:b/>
          <w:bCs/>
          <w:noProof/>
          <w:szCs w:val="24"/>
        </w:rPr>
      </w:pPr>
      <w:r w:rsidRPr="00A975EF">
        <w:rPr>
          <w:b/>
          <w:bCs/>
          <w:noProof/>
          <w:szCs w:val="24"/>
        </w:rPr>
        <w:t xml:space="preserve">Conclusion  </w:t>
      </w:r>
    </w:p>
    <w:p w14:paraId="37B3BC78" w14:textId="44B49686" w:rsidR="003149A2" w:rsidRPr="00A975EF" w:rsidRDefault="008C1791" w:rsidP="00D12D8A">
      <w:pPr>
        <w:pStyle w:val="IOPAbsText"/>
        <w:ind w:right="12"/>
        <w:rPr>
          <w:noProof/>
          <w:szCs w:val="24"/>
        </w:rPr>
      </w:pPr>
      <w:r>
        <w:t>Avoidance of unnecessary ED visits can be associated with significant cost savings</w:t>
      </w:r>
      <w:r>
        <w:t xml:space="preserve">. Based </w:t>
      </w:r>
      <w:r w:rsidRPr="008C1791">
        <w:t>on the reasons for ED presentation for administrations, implementation of an ED-based outpatient infusion service is not needed for prevention of these unnecessary visits.</w:t>
      </w:r>
    </w:p>
    <w:p w14:paraId="3870213A" w14:textId="63E05CDB" w:rsidR="004D2E4E" w:rsidRPr="00A975EF" w:rsidRDefault="005223F4" w:rsidP="00A975EF">
      <w:pPr>
        <w:pStyle w:val="IOPKwd"/>
        <w:rPr>
          <w:rFonts w:asciiTheme="minorHAnsi" w:hAnsiTheme="minorHAnsi" w:cstheme="minorHAnsi"/>
          <w:sz w:val="18"/>
        </w:rPr>
        <w:sectPr w:rsidR="004D2E4E" w:rsidRPr="00A975EF" w:rsidSect="00717D41">
          <w:headerReference w:type="default" r:id="rId11"/>
          <w:footerReference w:type="default" r:id="rId12"/>
          <w:pgSz w:w="11906" w:h="16838"/>
          <w:pgMar w:top="1584" w:right="1008" w:bottom="1584" w:left="1008" w:header="720" w:footer="720" w:gutter="0"/>
          <w:cols w:space="708"/>
          <w:docGrid w:linePitch="360"/>
        </w:sectPr>
      </w:pPr>
      <w:r w:rsidRPr="00D719B6">
        <w:rPr>
          <w:rFonts w:asciiTheme="minorHAnsi" w:hAnsiTheme="minorHAnsi" w:cstheme="minorHAnsi"/>
          <w:sz w:val="18"/>
        </w:rPr>
        <w:t xml:space="preserve">Keywords: </w:t>
      </w:r>
      <w:r w:rsidR="008C1791">
        <w:rPr>
          <w:rFonts w:asciiTheme="minorHAnsi" w:hAnsiTheme="minorHAnsi" w:cstheme="minorHAnsi"/>
          <w:sz w:val="18"/>
        </w:rPr>
        <w:t>emergency department, infusion center</w:t>
      </w:r>
    </w:p>
    <w:p w14:paraId="40B78164" w14:textId="6E1B70E2" w:rsidR="00A40AFB" w:rsidRPr="00A975EF" w:rsidRDefault="00A40AFB" w:rsidP="00A40AFB">
      <w:pPr>
        <w:pStyle w:val="IOPH1"/>
        <w:rPr>
          <w:rFonts w:ascii="Times New Roman" w:hAnsi="Times New Roman"/>
          <w:sz w:val="28"/>
          <w:szCs w:val="22"/>
        </w:rPr>
      </w:pPr>
      <w:r w:rsidRPr="00A975EF">
        <w:rPr>
          <w:rFonts w:ascii="Times New Roman" w:hAnsi="Times New Roman"/>
          <w:sz w:val="28"/>
          <w:szCs w:val="22"/>
        </w:rPr>
        <w:t xml:space="preserve">1. </w:t>
      </w:r>
      <w:r w:rsidR="004F1C46" w:rsidRPr="00A975EF">
        <w:rPr>
          <w:rFonts w:ascii="Times New Roman" w:hAnsi="Times New Roman"/>
          <w:sz w:val="28"/>
          <w:szCs w:val="22"/>
        </w:rPr>
        <w:t>Background</w:t>
      </w:r>
    </w:p>
    <w:p w14:paraId="49E97049" w14:textId="77777777" w:rsidR="008C1791" w:rsidRPr="008C1791" w:rsidRDefault="008C1791" w:rsidP="00D85B42">
      <w:pPr>
        <w:spacing w:before="200" w:after="120"/>
        <w:ind w:firstLine="720"/>
        <w:rPr>
          <w:rFonts w:ascii="Times New Roman" w:hAnsi="Times New Roman"/>
          <w:sz w:val="24"/>
          <w:szCs w:val="24"/>
        </w:rPr>
      </w:pPr>
      <w:r w:rsidRPr="008C1791">
        <w:rPr>
          <w:rFonts w:ascii="Times New Roman" w:hAnsi="Times New Roman"/>
          <w:sz w:val="24"/>
          <w:szCs w:val="24"/>
        </w:rPr>
        <w:t xml:space="preserve">Infusion centers allow for management of multiple chronic conditions under the supervision of healthcare professionals outside of the hospital setting. Infusion centers provide outpatient disease management to patients in a more convenient and cost-effective manner as </w:t>
      </w:r>
      <w:r w:rsidRPr="008C1791">
        <w:rPr>
          <w:rFonts w:ascii="Times New Roman" w:hAnsi="Times New Roman"/>
          <w:sz w:val="24"/>
          <w:szCs w:val="24"/>
        </w:rPr>
        <w:t>compared to hospital-based management.</w:t>
      </w:r>
      <w:r w:rsidRPr="008C1791">
        <w:rPr>
          <w:rFonts w:ascii="Times New Roman" w:hAnsi="Times New Roman"/>
          <w:sz w:val="24"/>
          <w:szCs w:val="24"/>
          <w:vertAlign w:val="superscript"/>
        </w:rPr>
        <w:t>1</w:t>
      </w:r>
      <w:r w:rsidRPr="008C1791">
        <w:rPr>
          <w:rFonts w:ascii="Times New Roman" w:hAnsi="Times New Roman"/>
          <w:sz w:val="24"/>
          <w:szCs w:val="24"/>
        </w:rPr>
        <w:t xml:space="preserve"> Comparisons of infusion center and emergency department (ED) care have been performed for multiple disease states including </w:t>
      </w:r>
      <w:proofErr w:type="spellStart"/>
      <w:r w:rsidRPr="008C1791">
        <w:rPr>
          <w:rFonts w:ascii="Times New Roman" w:hAnsi="Times New Roman"/>
          <w:sz w:val="24"/>
          <w:szCs w:val="24"/>
        </w:rPr>
        <w:t>vaso</w:t>
      </w:r>
      <w:proofErr w:type="spellEnd"/>
      <w:r w:rsidRPr="008C1791">
        <w:rPr>
          <w:rFonts w:ascii="Times New Roman" w:hAnsi="Times New Roman"/>
          <w:sz w:val="24"/>
          <w:szCs w:val="24"/>
        </w:rPr>
        <w:t>-occlusive crises (VOC), migraines, and chemotherapy side effects.</w:t>
      </w:r>
      <w:r w:rsidRPr="008C1791">
        <w:rPr>
          <w:rFonts w:ascii="Times New Roman" w:hAnsi="Times New Roman"/>
          <w:sz w:val="24"/>
          <w:szCs w:val="24"/>
          <w:vertAlign w:val="superscript"/>
        </w:rPr>
        <w:t>2-6</w:t>
      </w:r>
      <w:r w:rsidRPr="008C1791">
        <w:rPr>
          <w:rFonts w:ascii="Times New Roman" w:hAnsi="Times New Roman"/>
          <w:sz w:val="24"/>
          <w:szCs w:val="24"/>
        </w:rPr>
        <w:t xml:space="preserve"> The ESCAPED trial found that receipt of care in the infusion center led to significant reductions in time to first dose of parenteral pain </w:t>
      </w:r>
      <w:r w:rsidRPr="008C1791">
        <w:rPr>
          <w:rFonts w:ascii="Times New Roman" w:hAnsi="Times New Roman"/>
          <w:sz w:val="24"/>
          <w:szCs w:val="24"/>
        </w:rPr>
        <w:lastRenderedPageBreak/>
        <w:t>medication administration and were also significantly more likely to have pain reassessed within 30 minutes. Patients in this study were furthermore significantly less likely to be admitted to the hospital for an episode of uncomplicated VOC and reported significantly more satisfaction with care within an infusion center.</w:t>
      </w:r>
      <w:r w:rsidRPr="00D85B42">
        <w:rPr>
          <w:rFonts w:ascii="Times New Roman" w:hAnsi="Times New Roman"/>
          <w:sz w:val="24"/>
          <w:szCs w:val="24"/>
          <w:vertAlign w:val="superscript"/>
        </w:rPr>
        <w:t>2,3</w:t>
      </w:r>
      <w:r w:rsidRPr="008C1791">
        <w:rPr>
          <w:rFonts w:ascii="Times New Roman" w:hAnsi="Times New Roman"/>
          <w:sz w:val="24"/>
          <w:szCs w:val="24"/>
        </w:rPr>
        <w:t xml:space="preserve"> Evaluations of migraine management have shown that ED presentations related to migraines are associated with an average length of stay of 5 days and a total average cost of $6908 as compared to an average migraine outpatient visit cost of $139.</w:t>
      </w:r>
      <w:r w:rsidRPr="00D85B42">
        <w:rPr>
          <w:rFonts w:ascii="Times New Roman" w:hAnsi="Times New Roman"/>
          <w:sz w:val="24"/>
          <w:szCs w:val="24"/>
          <w:vertAlign w:val="superscript"/>
        </w:rPr>
        <w:t xml:space="preserve">4,5 </w:t>
      </w:r>
      <w:r w:rsidRPr="008C1791">
        <w:rPr>
          <w:rFonts w:ascii="Times New Roman" w:hAnsi="Times New Roman"/>
          <w:sz w:val="24"/>
          <w:szCs w:val="24"/>
        </w:rPr>
        <w:t>These large cost differences are attributable to the usage of unnecessary radiographic scans and use of non-migraine-specific medications within the ED setting. Implementation of an infusion center for management of symptoms associated with chemotherapy have shown reductions in ED visits for oncology-related complaints and chemotherapy symptom management following implementation.</w:t>
      </w:r>
      <w:r w:rsidRPr="00D85B42">
        <w:rPr>
          <w:rFonts w:ascii="Times New Roman" w:hAnsi="Times New Roman"/>
          <w:sz w:val="24"/>
          <w:szCs w:val="24"/>
          <w:vertAlign w:val="superscript"/>
        </w:rPr>
        <w:t>6</w:t>
      </w:r>
      <w:r w:rsidRPr="008C1791">
        <w:rPr>
          <w:rFonts w:ascii="Times New Roman" w:hAnsi="Times New Roman"/>
          <w:sz w:val="24"/>
          <w:szCs w:val="24"/>
        </w:rPr>
        <w:t xml:space="preserve"> Infusion center-based care is consistently associated with improvements in time to patients receiving proper care, increased patient satisfaction in their care, as well as decreases in hospitalization rates associated with the chronic condition significantly reducing healthcare costs.</w:t>
      </w:r>
    </w:p>
    <w:p w14:paraId="7E7F445C" w14:textId="77777777" w:rsidR="00D85B42" w:rsidRDefault="008C1791" w:rsidP="0043535F">
      <w:pPr>
        <w:spacing w:before="200" w:after="120"/>
        <w:ind w:firstLine="720"/>
        <w:rPr>
          <w:rFonts w:ascii="Times New Roman" w:hAnsi="Times New Roman"/>
          <w:sz w:val="24"/>
          <w:szCs w:val="24"/>
        </w:rPr>
      </w:pPr>
      <w:r w:rsidRPr="008C1791">
        <w:rPr>
          <w:rFonts w:ascii="Times New Roman" w:hAnsi="Times New Roman"/>
          <w:sz w:val="24"/>
          <w:szCs w:val="24"/>
        </w:rPr>
        <w:t xml:space="preserve">At Renown Regional Medical Center (RRMC), factors such as limited infusion center hours and lack of immediate availability of infusion center chairs have led to ED presentations for provision of infusion-center based care. The organization’s infusion center is currently operating at 100% capacity with an average wait time for appointments of 7 days. A potential strategy for overcoming barriers to receipt of infusion center-based care is implementation of an outpatient infusion service within the ED space. Highlighted by a 2022 study by Graham and colleagues, implementation of an ED-embedded infusion service allowed for administration of COVID-19 antibody treatments </w:t>
      </w:r>
      <w:r w:rsidRPr="008C1791">
        <w:rPr>
          <w:rFonts w:ascii="Times New Roman" w:hAnsi="Times New Roman"/>
          <w:sz w:val="24"/>
          <w:szCs w:val="24"/>
        </w:rPr>
        <w:t>without utilization of an ED visit.</w:t>
      </w:r>
      <w:r w:rsidRPr="00D85B42">
        <w:rPr>
          <w:rFonts w:ascii="Times New Roman" w:hAnsi="Times New Roman"/>
          <w:sz w:val="24"/>
          <w:szCs w:val="24"/>
          <w:vertAlign w:val="superscript"/>
        </w:rPr>
        <w:t>7</w:t>
      </w:r>
      <w:r w:rsidRPr="008C1791">
        <w:rPr>
          <w:rFonts w:ascii="Times New Roman" w:hAnsi="Times New Roman"/>
          <w:sz w:val="24"/>
          <w:szCs w:val="24"/>
        </w:rPr>
        <w:t xml:space="preserve"> Given the reports of ED visits for infusion center-based care at RRMC and evidence showing improved and more cost-effective care within infusion centers our goal was to assess the necessity and feasibility of implementing an outpatient infusion service within the ED space for when the institution</w:t>
      </w:r>
      <w:r w:rsidR="00D85B42">
        <w:rPr>
          <w:rFonts w:ascii="Times New Roman" w:hAnsi="Times New Roman"/>
          <w:sz w:val="24"/>
          <w:szCs w:val="24"/>
        </w:rPr>
        <w:t>’</w:t>
      </w:r>
      <w:r w:rsidRPr="008C1791">
        <w:rPr>
          <w:rFonts w:ascii="Times New Roman" w:hAnsi="Times New Roman"/>
          <w:sz w:val="24"/>
          <w:szCs w:val="24"/>
        </w:rPr>
        <w:t xml:space="preserve">s outpatient infusion center is unavailable. </w:t>
      </w:r>
    </w:p>
    <w:p w14:paraId="622B60F5" w14:textId="55F3A149" w:rsidR="00090614" w:rsidRPr="00A975EF" w:rsidRDefault="00101039" w:rsidP="008C1791">
      <w:pPr>
        <w:spacing w:before="200" w:after="120"/>
        <w:rPr>
          <w:rFonts w:ascii="Times New Roman" w:hAnsi="Times New Roman"/>
          <w:b/>
          <w:sz w:val="28"/>
        </w:rPr>
      </w:pPr>
      <w:r w:rsidRPr="00A975EF">
        <w:rPr>
          <w:rFonts w:ascii="Times New Roman" w:hAnsi="Times New Roman"/>
          <w:b/>
          <w:sz w:val="28"/>
        </w:rPr>
        <w:t>2</w:t>
      </w:r>
      <w:r w:rsidR="00090614" w:rsidRPr="00A975EF">
        <w:rPr>
          <w:rFonts w:ascii="Times New Roman" w:hAnsi="Times New Roman"/>
          <w:b/>
          <w:sz w:val="28"/>
        </w:rPr>
        <w:t xml:space="preserve">. </w:t>
      </w:r>
      <w:r w:rsidRPr="00A975EF">
        <w:rPr>
          <w:rFonts w:ascii="Times New Roman" w:hAnsi="Times New Roman"/>
          <w:b/>
          <w:sz w:val="28"/>
        </w:rPr>
        <w:t>Methods</w:t>
      </w:r>
    </w:p>
    <w:p w14:paraId="4D6CC71E" w14:textId="77777777" w:rsidR="00D85B42" w:rsidRDefault="00D85B42" w:rsidP="00F50A04">
      <w:pPr>
        <w:spacing w:before="200" w:after="120"/>
        <w:ind w:firstLine="720"/>
        <w:rPr>
          <w:rFonts w:ascii="Times New Roman" w:hAnsi="Times New Roman"/>
          <w:sz w:val="24"/>
          <w:szCs w:val="24"/>
        </w:rPr>
      </w:pPr>
      <w:r w:rsidRPr="00D85B42">
        <w:rPr>
          <w:rFonts w:ascii="Times New Roman" w:hAnsi="Times New Roman"/>
          <w:sz w:val="24"/>
          <w:szCs w:val="24"/>
        </w:rPr>
        <w:t xml:space="preserve">This was a retrospective, single-site review of patients seen in the ED or clinical decision unit (CDU) for medication administration that could have been administered through an infusion center. Patients presenting to the ED between July 1, </w:t>
      </w:r>
      <w:proofErr w:type="gramStart"/>
      <w:r w:rsidRPr="00D85B42">
        <w:rPr>
          <w:rFonts w:ascii="Times New Roman" w:hAnsi="Times New Roman"/>
          <w:sz w:val="24"/>
          <w:szCs w:val="24"/>
        </w:rPr>
        <w:t>2022</w:t>
      </w:r>
      <w:proofErr w:type="gramEnd"/>
      <w:r w:rsidRPr="00D85B42">
        <w:rPr>
          <w:rFonts w:ascii="Times New Roman" w:hAnsi="Times New Roman"/>
          <w:sz w:val="24"/>
          <w:szCs w:val="24"/>
        </w:rPr>
        <w:t xml:space="preserve"> to June 30, 2023 were evaluated. Patients were included if they presented to the ED for the sole purpose of being administered a medication or blood product without any further complicating medical condition requiring evaluation or hospitalization. Patients were excluded if they transferred in from other healthcare facilities or prisons or if their length of stay was greater than 48 hours. The medications considered for evaluation are shown in Table 1. These medications were selected based on the services and types of diseases typically managed within an infusion center.</w:t>
      </w:r>
    </w:p>
    <w:p w14:paraId="356A097A" w14:textId="7DC57619" w:rsidR="0043535F" w:rsidRPr="00D85B42" w:rsidRDefault="0043535F" w:rsidP="00F50A04">
      <w:pPr>
        <w:spacing w:before="200" w:after="120"/>
        <w:ind w:firstLine="720"/>
        <w:rPr>
          <w:rFonts w:ascii="Times New Roman" w:hAnsi="Times New Roman"/>
          <w:sz w:val="24"/>
          <w:szCs w:val="24"/>
        </w:rPr>
      </w:pPr>
      <w:r w:rsidRPr="0043535F">
        <w:rPr>
          <w:rFonts w:ascii="Times New Roman" w:hAnsi="Times New Roman"/>
          <w:sz w:val="24"/>
          <w:szCs w:val="24"/>
        </w:rPr>
        <w:t>The primary endpoint of this study was the quantification of total costs associated with the ED visits for administration of the identified medications/blood products as compared to the infusion center costs for a visit of the same type. Estimated ED visit costs were calculated based on national averages from the 2019 Consumer Health Ratings Report showing the average cost of an ED visit as $1,749.</w:t>
      </w:r>
      <w:r w:rsidRPr="0043535F">
        <w:rPr>
          <w:rFonts w:ascii="Times New Roman" w:hAnsi="Times New Roman"/>
          <w:sz w:val="24"/>
          <w:szCs w:val="24"/>
          <w:vertAlign w:val="superscript"/>
        </w:rPr>
        <w:t>8</w:t>
      </w:r>
      <w:r w:rsidRPr="0043535F">
        <w:rPr>
          <w:rFonts w:ascii="Times New Roman" w:hAnsi="Times New Roman"/>
          <w:sz w:val="24"/>
          <w:szCs w:val="24"/>
        </w:rPr>
        <w:t xml:space="preserve"> Equivalent infusion center costs were calculated based on Renown infusion center charges shown in Table 2 for different appointment types.</w:t>
      </w:r>
    </w:p>
    <w:p w14:paraId="7DEE33DA" w14:textId="77777777" w:rsidR="0043535F" w:rsidRDefault="0043535F" w:rsidP="00D85B42">
      <w:pPr>
        <w:spacing w:before="200" w:after="120"/>
        <w:ind w:firstLine="230"/>
        <w:rPr>
          <w:rFonts w:ascii="Times New Roman" w:hAnsi="Times New Roman"/>
          <w:b/>
          <w:i/>
          <w:iCs/>
          <w:sz w:val="24"/>
          <w:szCs w:val="20"/>
        </w:rPr>
      </w:pPr>
    </w:p>
    <w:p w14:paraId="488C8576" w14:textId="1B509844" w:rsidR="00CB71A1" w:rsidRPr="00A975EF" w:rsidRDefault="00CB71A1" w:rsidP="00D85B42">
      <w:pPr>
        <w:spacing w:before="200" w:after="120"/>
        <w:ind w:firstLine="230"/>
        <w:rPr>
          <w:rFonts w:ascii="Times New Roman" w:hAnsi="Times New Roman"/>
          <w:b/>
          <w:i/>
          <w:iCs/>
          <w:sz w:val="24"/>
          <w:szCs w:val="20"/>
        </w:rPr>
      </w:pPr>
      <w:r w:rsidRPr="00A975EF">
        <w:rPr>
          <w:rFonts w:ascii="Times New Roman" w:hAnsi="Times New Roman"/>
          <w:b/>
          <w:i/>
          <w:iCs/>
          <w:sz w:val="24"/>
          <w:szCs w:val="20"/>
        </w:rPr>
        <w:lastRenderedPageBreak/>
        <w:t>2.1 Data Collection</w:t>
      </w:r>
    </w:p>
    <w:p w14:paraId="1CBCFBE6" w14:textId="77777777" w:rsidR="00D85B42" w:rsidRDefault="00D85B42" w:rsidP="00F50A04">
      <w:pPr>
        <w:spacing w:before="200" w:after="120"/>
        <w:ind w:firstLine="720"/>
        <w:rPr>
          <w:rFonts w:ascii="Times New Roman" w:hAnsi="Times New Roman"/>
          <w:sz w:val="24"/>
          <w:szCs w:val="24"/>
        </w:rPr>
      </w:pPr>
      <w:r w:rsidRPr="00D85B42">
        <w:rPr>
          <w:rFonts w:ascii="Times New Roman" w:hAnsi="Times New Roman"/>
          <w:sz w:val="24"/>
          <w:szCs w:val="24"/>
        </w:rPr>
        <w:t xml:space="preserve">Data was collected via the electronic medical record. Data collected included medication administered, chief complaint, discharge problem list, and length of stay. </w:t>
      </w:r>
    </w:p>
    <w:p w14:paraId="66FC5053" w14:textId="435B32E9" w:rsidR="00B15CD1" w:rsidRPr="00A975EF" w:rsidRDefault="00B9566D" w:rsidP="00D85B42">
      <w:pPr>
        <w:spacing w:before="200" w:after="120"/>
        <w:ind w:firstLine="230"/>
        <w:rPr>
          <w:rFonts w:ascii="Times New Roman" w:hAnsi="Times New Roman"/>
          <w:b/>
          <w:i/>
          <w:iCs/>
          <w:sz w:val="24"/>
          <w:szCs w:val="20"/>
        </w:rPr>
      </w:pPr>
      <w:r w:rsidRPr="00A975EF">
        <w:rPr>
          <w:rFonts w:ascii="Times New Roman" w:hAnsi="Times New Roman"/>
          <w:b/>
          <w:i/>
          <w:iCs/>
          <w:sz w:val="24"/>
          <w:szCs w:val="20"/>
        </w:rPr>
        <w:t>2.</w:t>
      </w:r>
      <w:r w:rsidR="00A65F30" w:rsidRPr="00A975EF">
        <w:rPr>
          <w:rFonts w:ascii="Times New Roman" w:hAnsi="Times New Roman"/>
          <w:b/>
          <w:i/>
          <w:iCs/>
          <w:sz w:val="24"/>
          <w:szCs w:val="20"/>
        </w:rPr>
        <w:t>2</w:t>
      </w:r>
      <w:r w:rsidRPr="00A975EF">
        <w:rPr>
          <w:rFonts w:ascii="Times New Roman" w:hAnsi="Times New Roman"/>
          <w:b/>
          <w:i/>
          <w:iCs/>
          <w:sz w:val="24"/>
          <w:szCs w:val="20"/>
        </w:rPr>
        <w:t xml:space="preserve"> Data Analysis</w:t>
      </w:r>
    </w:p>
    <w:p w14:paraId="57FD62A9" w14:textId="77777777" w:rsidR="00D85B42" w:rsidRDefault="00D85B42" w:rsidP="0043535F">
      <w:pPr>
        <w:spacing w:line="480" w:lineRule="auto"/>
        <w:ind w:firstLine="230"/>
        <w:rPr>
          <w:rFonts w:ascii="Times New Roman" w:hAnsi="Times New Roman"/>
        </w:rPr>
      </w:pPr>
      <w:r>
        <w:rPr>
          <w:rFonts w:ascii="Times New Roman" w:hAnsi="Times New Roman"/>
        </w:rPr>
        <w:t xml:space="preserve">Data was analyzed using descriptive statistics. </w:t>
      </w:r>
    </w:p>
    <w:p w14:paraId="54BE46CD" w14:textId="14A67824" w:rsidR="000422B3" w:rsidRDefault="004E3CB6" w:rsidP="00BB70C8">
      <w:pPr>
        <w:spacing w:before="200" w:after="120"/>
        <w:rPr>
          <w:rFonts w:ascii="Times New Roman" w:hAnsi="Times New Roman"/>
          <w:b/>
          <w:sz w:val="28"/>
        </w:rPr>
      </w:pPr>
      <w:r w:rsidRPr="00A975EF">
        <w:rPr>
          <w:rFonts w:ascii="Times New Roman" w:hAnsi="Times New Roman"/>
          <w:b/>
          <w:sz w:val="28"/>
        </w:rPr>
        <w:t>3</w:t>
      </w:r>
      <w:r w:rsidR="00BB70C8" w:rsidRPr="00A975EF">
        <w:rPr>
          <w:rFonts w:ascii="Times New Roman" w:hAnsi="Times New Roman"/>
          <w:b/>
          <w:sz w:val="28"/>
        </w:rPr>
        <w:t xml:space="preserve">. </w:t>
      </w:r>
      <w:r w:rsidRPr="00A975EF">
        <w:rPr>
          <w:rFonts w:ascii="Times New Roman" w:hAnsi="Times New Roman"/>
          <w:b/>
          <w:sz w:val="28"/>
        </w:rPr>
        <w:t>Results</w:t>
      </w:r>
    </w:p>
    <w:p w14:paraId="4153CBFE" w14:textId="7A8D3787" w:rsidR="0043535F" w:rsidRDefault="0043535F" w:rsidP="0043535F">
      <w:pPr>
        <w:spacing w:before="200" w:after="120"/>
        <w:ind w:firstLine="720"/>
        <w:rPr>
          <w:rFonts w:ascii="Times New Roman" w:hAnsi="Times New Roman"/>
          <w:bCs/>
          <w:sz w:val="24"/>
          <w:szCs w:val="24"/>
        </w:rPr>
      </w:pPr>
      <w:r w:rsidRPr="0043535F">
        <w:rPr>
          <w:rFonts w:ascii="Times New Roman" w:hAnsi="Times New Roman"/>
          <w:bCs/>
          <w:sz w:val="24"/>
          <w:szCs w:val="24"/>
        </w:rPr>
        <w:t xml:space="preserve">There were 606 administrations of studied medications given during the study period in the ED. 516 of these administrations were excluded. Reasons for exclusion included patients having another acute medical problem noted in their chief complaint or problem list during the encounter (n=468) and for having a length of stay greater than 48 hours (n=48). After exclusion, there were 90 administrations that met criteria for analysis in the study (Figure 1). The breakdown of the 90 administrations that met criteria are shown in Figure 2. </w:t>
      </w:r>
      <w:proofErr w:type="gramStart"/>
      <w:r w:rsidRPr="0043535F">
        <w:rPr>
          <w:rFonts w:ascii="Times New Roman" w:hAnsi="Times New Roman"/>
          <w:bCs/>
          <w:sz w:val="24"/>
          <w:szCs w:val="24"/>
        </w:rPr>
        <w:t>A majority of</w:t>
      </w:r>
      <w:proofErr w:type="gramEnd"/>
      <w:r w:rsidRPr="0043535F">
        <w:rPr>
          <w:rFonts w:ascii="Times New Roman" w:hAnsi="Times New Roman"/>
          <w:bCs/>
          <w:sz w:val="24"/>
          <w:szCs w:val="24"/>
        </w:rPr>
        <w:t xml:space="preserve"> administrations were intramuscular (IM) ceftriaxone (57.8% of administrations), IM methotrexate was the second most frequent (16.7% of administrations), and the combination of rabies vaccine and rabies immune globulin were the third most frequent (12.2% of administrations). The only blood product administration that was able to be successfully captured was Rhophylac®.</w:t>
      </w:r>
    </w:p>
    <w:p w14:paraId="57371E95" w14:textId="77777777" w:rsidR="0043535F" w:rsidRPr="0043535F" w:rsidRDefault="0043535F" w:rsidP="0043535F">
      <w:pPr>
        <w:spacing w:before="200" w:after="120"/>
        <w:ind w:firstLine="720"/>
        <w:rPr>
          <w:rFonts w:ascii="Times New Roman" w:hAnsi="Times New Roman"/>
          <w:bCs/>
          <w:sz w:val="24"/>
          <w:szCs w:val="24"/>
        </w:rPr>
      </w:pPr>
      <w:r w:rsidRPr="0043535F">
        <w:rPr>
          <w:rFonts w:ascii="Times New Roman" w:hAnsi="Times New Roman"/>
          <w:bCs/>
          <w:sz w:val="24"/>
          <w:szCs w:val="24"/>
        </w:rPr>
        <w:t>The 90 administrations that met criteria comprised 86 separate ED encounters as 4 encounters included administration of both rabies vaccine and rabies immune globulin. The average length of ED stay for these encounters was 2.8 hours (range 0.72-8.1 hours) with a total time of ED bed occupancy of 234 hours. The total estimated costs for these 86 ED visits came to a total of $150,414 based on the previously described estimated average cost per ED visit.</w:t>
      </w:r>
    </w:p>
    <w:p w14:paraId="74861741" w14:textId="77777777" w:rsidR="0043535F" w:rsidRDefault="0043535F" w:rsidP="0043535F">
      <w:pPr>
        <w:spacing w:before="200" w:after="120"/>
        <w:ind w:firstLine="720"/>
        <w:rPr>
          <w:rFonts w:ascii="Times New Roman" w:hAnsi="Times New Roman"/>
          <w:bCs/>
          <w:sz w:val="24"/>
          <w:szCs w:val="24"/>
        </w:rPr>
      </w:pPr>
    </w:p>
    <w:p w14:paraId="5314D763" w14:textId="77777777" w:rsidR="0043535F" w:rsidRDefault="0043535F" w:rsidP="0043535F">
      <w:pPr>
        <w:spacing w:before="200" w:after="120"/>
        <w:ind w:firstLine="720"/>
        <w:rPr>
          <w:rFonts w:ascii="Times New Roman" w:hAnsi="Times New Roman"/>
          <w:bCs/>
          <w:sz w:val="24"/>
          <w:szCs w:val="24"/>
        </w:rPr>
      </w:pPr>
    </w:p>
    <w:p w14:paraId="66A053F0" w14:textId="2FC11E8A" w:rsidR="0043535F" w:rsidRDefault="0043535F" w:rsidP="0043535F">
      <w:pPr>
        <w:spacing w:before="200" w:after="120"/>
        <w:rPr>
          <w:rFonts w:ascii="Times New Roman" w:hAnsi="Times New Roman"/>
          <w:bCs/>
          <w:sz w:val="24"/>
          <w:szCs w:val="24"/>
        </w:rPr>
      </w:pPr>
      <w:r w:rsidRPr="00DD5628">
        <w:rPr>
          <w:rFonts w:ascii="Times New Roman" w:hAnsi="Times New Roman"/>
          <w:noProof/>
        </w:rPr>
        <w:drawing>
          <wp:inline distT="0" distB="0" distL="0" distR="0" wp14:anchorId="14FAC18D" wp14:editId="0BCDDEF4">
            <wp:extent cx="2447925" cy="2543175"/>
            <wp:effectExtent l="0" t="19050" r="0" b="47625"/>
            <wp:docPr id="530143453" name="Diagram 1">
              <a:extLst xmlns:a="http://schemas.openxmlformats.org/drawingml/2006/main">
                <a:ext uri="{FF2B5EF4-FFF2-40B4-BE49-F238E27FC236}">
                  <a16:creationId xmlns:a16="http://schemas.microsoft.com/office/drawing/2014/main" id="{77EA9F56-8520-E865-70BC-2E4EE86FDD9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50E112B" w14:textId="54B44331" w:rsidR="0043535F" w:rsidRDefault="0043535F" w:rsidP="0043535F">
      <w:pPr>
        <w:spacing w:before="200" w:after="120"/>
        <w:rPr>
          <w:rFonts w:asciiTheme="minorHAnsi" w:hAnsiTheme="minorHAnsi" w:cstheme="minorHAnsi"/>
          <w:bCs/>
          <w:i/>
          <w:iCs/>
          <w:sz w:val="18"/>
          <w:szCs w:val="18"/>
        </w:rPr>
      </w:pPr>
      <w:r>
        <w:rPr>
          <w:rFonts w:asciiTheme="minorHAnsi" w:hAnsiTheme="minorHAnsi" w:cstheme="minorHAnsi"/>
          <w:bCs/>
          <w:i/>
          <w:iCs/>
          <w:sz w:val="18"/>
          <w:szCs w:val="18"/>
        </w:rPr>
        <w:t>Figure 1: Diagram of the study population</w:t>
      </w:r>
    </w:p>
    <w:p w14:paraId="41862F8E" w14:textId="761F0445" w:rsidR="0043535F" w:rsidRDefault="0043535F" w:rsidP="0043535F">
      <w:pPr>
        <w:spacing w:before="200" w:after="120"/>
        <w:ind w:firstLine="720"/>
        <w:rPr>
          <w:rFonts w:ascii="Times New Roman" w:hAnsi="Times New Roman"/>
          <w:bCs/>
          <w:sz w:val="24"/>
          <w:szCs w:val="24"/>
        </w:rPr>
      </w:pPr>
      <w:r w:rsidRPr="0043535F">
        <w:rPr>
          <w:rFonts w:ascii="Times New Roman" w:hAnsi="Times New Roman"/>
          <w:bCs/>
          <w:sz w:val="24"/>
          <w:szCs w:val="24"/>
        </w:rPr>
        <w:t>For cost comparison the medication administrations in the ED were classified as corresponding infusion center visit types shown in Table 3. A majority (90%) of the administrations that met criteria were classified as the sub-Q/IM administration visit type. Based on the costs associated with each corresponding infusion center visit type the total cost associated with the study medications in the infusion center setting was estimated to be $45,990.</w:t>
      </w:r>
    </w:p>
    <w:p w14:paraId="096DEBF5" w14:textId="559F91A7" w:rsidR="0043535F" w:rsidRPr="0043535F" w:rsidRDefault="0043535F" w:rsidP="0043535F">
      <w:pPr>
        <w:spacing w:before="200" w:after="120"/>
        <w:ind w:firstLine="720"/>
        <w:rPr>
          <w:rFonts w:ascii="Times New Roman" w:hAnsi="Times New Roman"/>
          <w:bCs/>
          <w:sz w:val="24"/>
          <w:szCs w:val="24"/>
        </w:rPr>
      </w:pPr>
      <w:r w:rsidRPr="0043535F">
        <w:rPr>
          <w:rFonts w:ascii="Times New Roman" w:hAnsi="Times New Roman"/>
          <w:bCs/>
          <w:sz w:val="24"/>
          <w:szCs w:val="24"/>
        </w:rPr>
        <w:t xml:space="preserve">The estimated cost of the 90 medication administrations in the ED </w:t>
      </w:r>
      <w:proofErr w:type="spellStart"/>
      <w:r w:rsidRPr="0043535F">
        <w:rPr>
          <w:rFonts w:ascii="Times New Roman" w:hAnsi="Times New Roman"/>
          <w:bCs/>
          <w:sz w:val="24"/>
          <w:szCs w:val="24"/>
        </w:rPr>
        <w:t>totaled</w:t>
      </w:r>
      <w:proofErr w:type="spellEnd"/>
      <w:r w:rsidRPr="0043535F">
        <w:rPr>
          <w:rFonts w:ascii="Times New Roman" w:hAnsi="Times New Roman"/>
          <w:bCs/>
          <w:sz w:val="24"/>
          <w:szCs w:val="24"/>
        </w:rPr>
        <w:t xml:space="preserve"> $150,414 while the comparable cost for the administrations to occur at the infusion center was estimated to be $45,990. The estimated cost for these administrations to occur in the infusion totals a potential cost savings of $104,424 annually.</w:t>
      </w:r>
    </w:p>
    <w:p w14:paraId="36B16266" w14:textId="4E18A97D" w:rsidR="0043535F" w:rsidRPr="00A975EF" w:rsidRDefault="00B17F38" w:rsidP="004B0DD9">
      <w:pPr>
        <w:spacing w:before="200" w:after="120"/>
        <w:rPr>
          <w:rFonts w:ascii="Times New Roman" w:hAnsi="Times New Roman"/>
          <w:b/>
          <w:sz w:val="28"/>
        </w:rPr>
      </w:pPr>
      <w:r w:rsidRPr="00A975EF">
        <w:rPr>
          <w:rFonts w:ascii="Times New Roman" w:hAnsi="Times New Roman"/>
          <w:b/>
          <w:sz w:val="28"/>
        </w:rPr>
        <w:t>4. Discussion</w:t>
      </w:r>
    </w:p>
    <w:p w14:paraId="41282832" w14:textId="77777777" w:rsidR="00F656A0" w:rsidRPr="00F656A0" w:rsidRDefault="00F656A0" w:rsidP="00F656A0">
      <w:pPr>
        <w:spacing w:before="200" w:after="120"/>
        <w:ind w:firstLine="720"/>
        <w:rPr>
          <w:rFonts w:ascii="Times New Roman" w:hAnsi="Times New Roman"/>
          <w:bCs/>
          <w:sz w:val="24"/>
          <w:szCs w:val="20"/>
        </w:rPr>
      </w:pPr>
      <w:r w:rsidRPr="00F656A0">
        <w:rPr>
          <w:rFonts w:ascii="Times New Roman" w:hAnsi="Times New Roman"/>
          <w:bCs/>
          <w:sz w:val="24"/>
          <w:szCs w:val="20"/>
        </w:rPr>
        <w:t xml:space="preserve">The results of this study highlight that avoidance of unnecessary ED visits can be associated with significant annual cost savings. After reviewing the medications administered and reasons for administration within the ED, it was determined that implementation of an ED-Based </w:t>
      </w:r>
      <w:r w:rsidRPr="00F656A0">
        <w:rPr>
          <w:rFonts w:ascii="Times New Roman" w:hAnsi="Times New Roman"/>
          <w:bCs/>
          <w:sz w:val="24"/>
          <w:szCs w:val="20"/>
        </w:rPr>
        <w:lastRenderedPageBreak/>
        <w:t>outpatient infusion service is not needed for prevention of unnecessary ED visits.</w:t>
      </w:r>
    </w:p>
    <w:p w14:paraId="3C9ACB2C" w14:textId="77777777" w:rsidR="00F656A0" w:rsidRPr="00F656A0" w:rsidRDefault="00F656A0" w:rsidP="00F50A04">
      <w:pPr>
        <w:spacing w:before="200" w:after="120"/>
        <w:ind w:firstLine="720"/>
        <w:rPr>
          <w:rFonts w:ascii="Times New Roman" w:hAnsi="Times New Roman"/>
          <w:bCs/>
          <w:sz w:val="24"/>
          <w:szCs w:val="20"/>
        </w:rPr>
      </w:pPr>
      <w:r w:rsidRPr="00F656A0">
        <w:rPr>
          <w:rFonts w:ascii="Times New Roman" w:hAnsi="Times New Roman"/>
          <w:bCs/>
          <w:sz w:val="24"/>
          <w:szCs w:val="20"/>
        </w:rPr>
        <w:t xml:space="preserve">Table 4 highlights the reasons for ED presentation for the studied medication administrations identified during manual chart review. The number of ED visits related to infusion center unavailability only </w:t>
      </w:r>
      <w:proofErr w:type="spellStart"/>
      <w:r w:rsidRPr="00F656A0">
        <w:rPr>
          <w:rFonts w:ascii="Times New Roman" w:hAnsi="Times New Roman"/>
          <w:bCs/>
          <w:sz w:val="24"/>
          <w:szCs w:val="20"/>
        </w:rPr>
        <w:t>totaled</w:t>
      </w:r>
      <w:proofErr w:type="spellEnd"/>
      <w:r w:rsidRPr="00F656A0">
        <w:rPr>
          <w:rFonts w:ascii="Times New Roman" w:hAnsi="Times New Roman"/>
          <w:bCs/>
          <w:sz w:val="24"/>
          <w:szCs w:val="20"/>
        </w:rPr>
        <w:t xml:space="preserve"> a small proportion (5.6%) of the ED medication administrations identified, representing an overall small proportion of the total costs incurred by these visits. </w:t>
      </w:r>
    </w:p>
    <w:p w14:paraId="32F7F46B" w14:textId="77777777" w:rsidR="00F50A04" w:rsidRDefault="00F656A0" w:rsidP="00F50A04">
      <w:pPr>
        <w:spacing w:before="200" w:after="120"/>
        <w:ind w:firstLine="720"/>
        <w:rPr>
          <w:rFonts w:ascii="Times New Roman" w:hAnsi="Times New Roman"/>
          <w:bCs/>
          <w:sz w:val="24"/>
          <w:szCs w:val="20"/>
        </w:rPr>
      </w:pPr>
      <w:r w:rsidRPr="00F656A0">
        <w:rPr>
          <w:rFonts w:ascii="Times New Roman" w:hAnsi="Times New Roman"/>
          <w:bCs/>
          <w:sz w:val="24"/>
          <w:szCs w:val="20"/>
        </w:rPr>
        <w:t xml:space="preserve">Unnecessary ED visits can best be avoided through utilization of already available resources instead of through implementing an ED-based outpatient infusion service. Sexually transmitted infection (STI) exposure treatment and rabies post exposure prophylactic treatment comprised the largest proportion (total 74.4%) of associated ED administrations. These unnecessary ED visits can successfully be avoided through increased collaboration with the local Northern Nevada Health Department for facilitation of follow-up STI treatment and rabies post-exposure prophylaxis. Encounters related to methotrexate administration for ectopic pregnancy comprised the second largest proportion (16.7%) of total ED administrations. At Renown Regional Medical Center planning and development are currently in process for a collaborative practice agreement between pharmacy and obstetrics that will allow for the management of all ectopic methotrexate through the infusion center, further reducing unnecessary ED visits. Utilization of these already available resources will allow for reductions in costs associated with unnecessary ED visits without the additional cost, </w:t>
      </w:r>
      <w:proofErr w:type="spellStart"/>
      <w:r w:rsidRPr="00F656A0">
        <w:rPr>
          <w:rFonts w:ascii="Times New Roman" w:hAnsi="Times New Roman"/>
          <w:bCs/>
          <w:sz w:val="24"/>
          <w:szCs w:val="20"/>
        </w:rPr>
        <w:t>labor</w:t>
      </w:r>
      <w:proofErr w:type="spellEnd"/>
      <w:r w:rsidRPr="00F656A0">
        <w:rPr>
          <w:rFonts w:ascii="Times New Roman" w:hAnsi="Times New Roman"/>
          <w:bCs/>
          <w:sz w:val="24"/>
          <w:szCs w:val="20"/>
        </w:rPr>
        <w:t>, training, and physical space requirements needed for implementation of an infusion center within the ED space.</w:t>
      </w:r>
    </w:p>
    <w:p w14:paraId="7076E2E2" w14:textId="77777777" w:rsidR="00F50A04" w:rsidRDefault="00F50A04" w:rsidP="00F50A04">
      <w:pPr>
        <w:spacing w:before="200" w:after="120"/>
        <w:ind w:firstLine="720"/>
        <w:rPr>
          <w:rFonts w:ascii="Times New Roman" w:hAnsi="Times New Roman"/>
          <w:b/>
          <w:i/>
          <w:iCs/>
          <w:sz w:val="24"/>
          <w:szCs w:val="20"/>
        </w:rPr>
      </w:pPr>
    </w:p>
    <w:p w14:paraId="1EE02A1F" w14:textId="77777777" w:rsidR="00F50A04" w:rsidRDefault="00F50A04" w:rsidP="00F50A04">
      <w:pPr>
        <w:spacing w:before="200" w:after="120"/>
        <w:ind w:firstLine="720"/>
        <w:rPr>
          <w:rFonts w:ascii="Times New Roman" w:hAnsi="Times New Roman"/>
          <w:b/>
          <w:i/>
          <w:iCs/>
          <w:sz w:val="24"/>
          <w:szCs w:val="20"/>
        </w:rPr>
      </w:pPr>
    </w:p>
    <w:p w14:paraId="233B0ABB" w14:textId="1BEAEF04" w:rsidR="007003FD" w:rsidRPr="00F50A04" w:rsidRDefault="00E36288" w:rsidP="00F50A04">
      <w:pPr>
        <w:spacing w:before="200" w:after="120"/>
        <w:ind w:firstLine="720"/>
        <w:rPr>
          <w:rFonts w:ascii="Times New Roman" w:hAnsi="Times New Roman"/>
          <w:bCs/>
          <w:sz w:val="24"/>
          <w:szCs w:val="20"/>
        </w:rPr>
      </w:pPr>
      <w:r w:rsidRPr="00A975EF">
        <w:rPr>
          <w:rFonts w:ascii="Times New Roman" w:hAnsi="Times New Roman"/>
          <w:b/>
          <w:i/>
          <w:iCs/>
          <w:sz w:val="24"/>
          <w:szCs w:val="20"/>
        </w:rPr>
        <w:t>4.1 Limitations</w:t>
      </w:r>
    </w:p>
    <w:p w14:paraId="11C3AC14" w14:textId="03CC9F55" w:rsidR="00F656A0" w:rsidRDefault="00F656A0" w:rsidP="00F50A04">
      <w:pPr>
        <w:spacing w:before="200" w:after="120"/>
        <w:ind w:firstLine="720"/>
        <w:rPr>
          <w:rFonts w:ascii="Times New Roman" w:hAnsi="Times New Roman"/>
          <w:bCs/>
          <w:sz w:val="24"/>
          <w:szCs w:val="20"/>
        </w:rPr>
      </w:pPr>
      <w:r w:rsidRPr="00F656A0">
        <w:rPr>
          <w:rFonts w:ascii="Times New Roman" w:hAnsi="Times New Roman"/>
          <w:bCs/>
          <w:sz w:val="24"/>
          <w:szCs w:val="20"/>
        </w:rPr>
        <w:t xml:space="preserve">Limitations to this study include the use of nation-wide averages for ED visit costs versus institution-specific data as this would have given a more accurate estimation of cost savings. Additionally, the inability to capture additional costs associated with the ED visits including labs and imaging would have additionally provided further accuracy to estimation of cost savings. Another limitation was the inability to collect blood product administrations besides Rhophylac® such as packed red blood cell or platelet infusions that would have further impacted cost data. </w:t>
      </w:r>
    </w:p>
    <w:p w14:paraId="6A9C645F" w14:textId="71277515" w:rsidR="00590F56" w:rsidRPr="00A975EF" w:rsidRDefault="00286C55" w:rsidP="00712762">
      <w:pPr>
        <w:spacing w:before="200" w:after="120"/>
        <w:rPr>
          <w:rFonts w:ascii="Times New Roman" w:hAnsi="Times New Roman"/>
          <w:b/>
          <w:sz w:val="28"/>
        </w:rPr>
      </w:pPr>
      <w:r w:rsidRPr="00A975EF">
        <w:rPr>
          <w:rFonts w:ascii="Times New Roman" w:hAnsi="Times New Roman"/>
          <w:b/>
          <w:sz w:val="28"/>
        </w:rPr>
        <w:t>5</w:t>
      </w:r>
      <w:r w:rsidR="00590F56" w:rsidRPr="00A975EF">
        <w:rPr>
          <w:rFonts w:ascii="Times New Roman" w:hAnsi="Times New Roman"/>
          <w:b/>
          <w:sz w:val="28"/>
        </w:rPr>
        <w:t xml:space="preserve">. </w:t>
      </w:r>
      <w:r w:rsidRPr="00A975EF">
        <w:rPr>
          <w:rFonts w:ascii="Times New Roman" w:hAnsi="Times New Roman"/>
          <w:b/>
          <w:sz w:val="28"/>
        </w:rPr>
        <w:t>Conclusion</w:t>
      </w:r>
    </w:p>
    <w:p w14:paraId="14CC3571" w14:textId="77777777" w:rsidR="00F50A04" w:rsidRDefault="00F656A0" w:rsidP="00F50A04">
      <w:pPr>
        <w:pStyle w:val="IOPH1"/>
        <w:ind w:firstLine="720"/>
        <w:rPr>
          <w:rFonts w:ascii="Times New Roman" w:hAnsi="Times New Roman"/>
          <w:b w:val="0"/>
          <w:noProof/>
          <w:sz w:val="24"/>
          <w:szCs w:val="28"/>
        </w:rPr>
      </w:pPr>
      <w:r w:rsidRPr="00F656A0">
        <w:rPr>
          <w:rFonts w:ascii="Times New Roman" w:hAnsi="Times New Roman"/>
          <w:b w:val="0"/>
          <w:noProof/>
          <w:sz w:val="24"/>
          <w:szCs w:val="28"/>
        </w:rPr>
        <w:t>Outpatient infusion center-based administration of medications is associated with improvements in patient care as well as decreased healthcare costs as compared to the ED. Our study highlights the potential for avoidance of ED visits that can be associated with significant cost savings. Based on the reasons for ED presentation for administrations at our facility, implementation of an ED-based outpatient infusion service is not needed for prevention of these unnecessary visits.</w:t>
      </w:r>
    </w:p>
    <w:p w14:paraId="0CEB2B36" w14:textId="71819F61" w:rsidR="00B35DEC" w:rsidRPr="00A975EF" w:rsidRDefault="00B35DEC" w:rsidP="00F50A04">
      <w:pPr>
        <w:pStyle w:val="IOPH1"/>
        <w:rPr>
          <w:rFonts w:ascii="Times New Roman" w:hAnsi="Times New Roman"/>
          <w:noProof/>
          <w:sz w:val="28"/>
          <w:szCs w:val="22"/>
        </w:rPr>
      </w:pPr>
      <w:r w:rsidRPr="00A975EF">
        <w:rPr>
          <w:rFonts w:ascii="Times New Roman" w:hAnsi="Times New Roman"/>
          <w:noProof/>
          <w:sz w:val="28"/>
          <w:szCs w:val="22"/>
        </w:rPr>
        <w:t>Conflicts of Interest</w:t>
      </w:r>
    </w:p>
    <w:p w14:paraId="4F93EA28" w14:textId="77777777" w:rsidR="00F50A04" w:rsidRPr="00A975EF" w:rsidRDefault="00F50A04" w:rsidP="00F50A04">
      <w:pPr>
        <w:pStyle w:val="IOPText"/>
        <w:ind w:firstLine="720"/>
        <w:rPr>
          <w:noProof/>
          <w:sz w:val="24"/>
          <w:szCs w:val="28"/>
        </w:rPr>
      </w:pPr>
      <w:r w:rsidRPr="00A975EF">
        <w:rPr>
          <w:noProof/>
          <w:sz w:val="24"/>
          <w:szCs w:val="28"/>
        </w:rPr>
        <w:t>The author</w:t>
      </w:r>
      <w:r>
        <w:rPr>
          <w:noProof/>
          <w:sz w:val="24"/>
          <w:szCs w:val="28"/>
        </w:rPr>
        <w:t>s of this manuscript have nothing to disclose and no conflicts of interest.</w:t>
      </w:r>
    </w:p>
    <w:p w14:paraId="4F97A7FA" w14:textId="78DB4461" w:rsidR="006228A2" w:rsidRDefault="006228A2" w:rsidP="006228A2">
      <w:pPr>
        <w:pStyle w:val="IOPH1"/>
        <w:rPr>
          <w:rFonts w:ascii="Times New Roman" w:hAnsi="Times New Roman"/>
          <w:noProof/>
          <w:sz w:val="28"/>
          <w:szCs w:val="22"/>
        </w:rPr>
      </w:pPr>
      <w:r w:rsidRPr="00A975EF">
        <w:rPr>
          <w:rFonts w:ascii="Times New Roman" w:hAnsi="Times New Roman"/>
          <w:noProof/>
          <w:sz w:val="28"/>
          <w:szCs w:val="22"/>
        </w:rPr>
        <w:t>References</w:t>
      </w:r>
    </w:p>
    <w:p w14:paraId="79889F9D" w14:textId="793D3ADE" w:rsidR="00F50A04" w:rsidRPr="00F50A04" w:rsidRDefault="00F50A04" w:rsidP="00F50A04">
      <w:pPr>
        <w:pStyle w:val="IOPH1"/>
        <w:spacing w:before="0"/>
        <w:rPr>
          <w:rFonts w:ascii="Times New Roman" w:hAnsi="Times New Roman"/>
          <w:b w:val="0"/>
          <w:bCs/>
          <w:noProof/>
          <w:sz w:val="16"/>
          <w:szCs w:val="16"/>
        </w:rPr>
      </w:pPr>
      <w:r w:rsidRPr="00F50A04">
        <w:rPr>
          <w:rFonts w:ascii="Times New Roman" w:hAnsi="Times New Roman"/>
          <w:b w:val="0"/>
          <w:bCs/>
          <w:noProof/>
          <w:sz w:val="16"/>
          <w:szCs w:val="16"/>
        </w:rPr>
        <w:t>1.</w:t>
      </w:r>
      <w:r w:rsidRPr="00F50A04">
        <w:rPr>
          <w:rFonts w:ascii="Times New Roman" w:hAnsi="Times New Roman"/>
          <w:b w:val="0"/>
          <w:bCs/>
          <w:noProof/>
          <w:sz w:val="16"/>
          <w:szCs w:val="16"/>
        </w:rPr>
        <w:t xml:space="preserve"> </w:t>
      </w:r>
      <w:r w:rsidRPr="00F50A04">
        <w:rPr>
          <w:rFonts w:ascii="Times New Roman" w:hAnsi="Times New Roman"/>
          <w:b w:val="0"/>
          <w:bCs/>
          <w:noProof/>
          <w:sz w:val="16"/>
          <w:szCs w:val="16"/>
        </w:rPr>
        <w:t>Kharfan-Dabaja MA. The Infusion Center. 2021 Oct 29. In: Aljurf M, Majhail NS, Koh MBC, et al., editors. The Comprehensive Cancer Center: Development, Integration, and Implementation [Internet]. Cham (CH): Springer; 2022. Chapter 5. Available from: https://www.ncbi.nlm.nih.gov/books/NBK584193/ doi: 10.1007/978-3-030-82052-7_5</w:t>
      </w:r>
    </w:p>
    <w:p w14:paraId="096032CA" w14:textId="014C99BA" w:rsidR="00F50A04" w:rsidRPr="00F50A04" w:rsidRDefault="00F50A04" w:rsidP="00F50A04">
      <w:pPr>
        <w:pStyle w:val="IOPH1"/>
        <w:spacing w:before="0"/>
        <w:rPr>
          <w:rFonts w:ascii="Times New Roman" w:hAnsi="Times New Roman"/>
          <w:b w:val="0"/>
          <w:bCs/>
          <w:noProof/>
          <w:sz w:val="16"/>
          <w:szCs w:val="16"/>
        </w:rPr>
      </w:pPr>
      <w:r w:rsidRPr="00F50A04">
        <w:rPr>
          <w:rFonts w:ascii="Times New Roman" w:hAnsi="Times New Roman"/>
          <w:b w:val="0"/>
          <w:bCs/>
          <w:noProof/>
          <w:sz w:val="16"/>
          <w:szCs w:val="16"/>
        </w:rPr>
        <w:t>2.</w:t>
      </w:r>
      <w:r w:rsidRPr="00F50A04">
        <w:rPr>
          <w:rFonts w:ascii="Times New Roman" w:hAnsi="Times New Roman"/>
          <w:b w:val="0"/>
          <w:bCs/>
          <w:noProof/>
          <w:sz w:val="16"/>
          <w:szCs w:val="16"/>
        </w:rPr>
        <w:t xml:space="preserve"> </w:t>
      </w:r>
      <w:r w:rsidRPr="00F50A04">
        <w:rPr>
          <w:rFonts w:ascii="Times New Roman" w:hAnsi="Times New Roman"/>
          <w:b w:val="0"/>
          <w:bCs/>
          <w:noProof/>
          <w:sz w:val="16"/>
          <w:szCs w:val="16"/>
        </w:rPr>
        <w:t>Lanzkron S, Little J, Wang H, et al. Treatment of Acute Pain in Adults With Sickle Cell Disease in an Infusion Center Versus the Emergency Department : A Multicenter Prospective Cohort Study [published correction appears in Ann Intern Med. 2021 Aug 3;:]. Ann Intern Med. 2021;174(9):1207-1213. doi:10.7326/M20-7171</w:t>
      </w:r>
    </w:p>
    <w:p w14:paraId="4A892076" w14:textId="46FE8942" w:rsidR="00F50A04" w:rsidRPr="00F50A04" w:rsidRDefault="00F50A04" w:rsidP="00F50A04">
      <w:pPr>
        <w:pStyle w:val="IOPH1"/>
        <w:spacing w:before="0"/>
        <w:rPr>
          <w:rFonts w:ascii="Times New Roman" w:hAnsi="Times New Roman"/>
          <w:b w:val="0"/>
          <w:bCs/>
          <w:noProof/>
          <w:sz w:val="16"/>
          <w:szCs w:val="16"/>
        </w:rPr>
      </w:pPr>
      <w:r w:rsidRPr="00F50A04">
        <w:rPr>
          <w:rFonts w:ascii="Times New Roman" w:hAnsi="Times New Roman"/>
          <w:b w:val="0"/>
          <w:bCs/>
          <w:noProof/>
          <w:sz w:val="16"/>
          <w:szCs w:val="16"/>
        </w:rPr>
        <w:t>3.</w:t>
      </w:r>
      <w:r>
        <w:rPr>
          <w:rFonts w:ascii="Times New Roman" w:hAnsi="Times New Roman"/>
          <w:b w:val="0"/>
          <w:bCs/>
          <w:noProof/>
          <w:sz w:val="16"/>
          <w:szCs w:val="16"/>
        </w:rPr>
        <w:t xml:space="preserve"> </w:t>
      </w:r>
      <w:r w:rsidRPr="00F50A04">
        <w:rPr>
          <w:rFonts w:ascii="Times New Roman" w:hAnsi="Times New Roman"/>
          <w:b w:val="0"/>
          <w:bCs/>
          <w:noProof/>
          <w:sz w:val="16"/>
          <w:szCs w:val="16"/>
        </w:rPr>
        <w:t>Abu Al Hamayel N, Brooks J, Wang H, et al. Patient Satisfaction of Care in the Treatment of Vaso-Occlusive Crises: A Comparison of Emergency Department and Infusion Centers in the Escaped Study. Blood 2018; 132 (Supplement 1): 314. doi: 10.1182/blood-2018-99-111544</w:t>
      </w:r>
    </w:p>
    <w:p w14:paraId="09AF27BC" w14:textId="32981C4E" w:rsidR="00F50A04" w:rsidRPr="00F50A04" w:rsidRDefault="00F50A04" w:rsidP="00F50A04">
      <w:pPr>
        <w:pStyle w:val="IOPH1"/>
        <w:spacing w:before="0"/>
        <w:rPr>
          <w:rFonts w:ascii="Times New Roman" w:hAnsi="Times New Roman"/>
          <w:b w:val="0"/>
          <w:bCs/>
          <w:noProof/>
          <w:sz w:val="16"/>
          <w:szCs w:val="16"/>
        </w:rPr>
      </w:pPr>
      <w:r w:rsidRPr="00F50A04">
        <w:rPr>
          <w:rFonts w:ascii="Times New Roman" w:hAnsi="Times New Roman"/>
          <w:b w:val="0"/>
          <w:bCs/>
          <w:noProof/>
          <w:sz w:val="16"/>
          <w:szCs w:val="16"/>
        </w:rPr>
        <w:lastRenderedPageBreak/>
        <w:t>4.</w:t>
      </w:r>
      <w:r>
        <w:rPr>
          <w:rFonts w:ascii="Times New Roman" w:hAnsi="Times New Roman"/>
          <w:b w:val="0"/>
          <w:bCs/>
          <w:noProof/>
          <w:sz w:val="16"/>
          <w:szCs w:val="16"/>
        </w:rPr>
        <w:t xml:space="preserve"> </w:t>
      </w:r>
      <w:r w:rsidRPr="00F50A04">
        <w:rPr>
          <w:rFonts w:ascii="Times New Roman" w:hAnsi="Times New Roman"/>
          <w:b w:val="0"/>
          <w:bCs/>
          <w:noProof/>
          <w:sz w:val="16"/>
          <w:szCs w:val="16"/>
        </w:rPr>
        <w:t>Strauss LD, Yugrakh MS, Kaplan KE, Minen MT; AHS Emergency Department, Inpatient, Refractory Special Interest Group. Headache infusion centers: A survey on treatments provided, infusion center operations, and barriers to developing new infusion centers. Headache. 2021;61(9):1364-1375. doi:10.1111/head.14172</w:t>
      </w:r>
    </w:p>
    <w:p w14:paraId="1F941B1C" w14:textId="011533B7" w:rsidR="00F50A04" w:rsidRPr="00F50A04" w:rsidRDefault="00F50A04" w:rsidP="00F50A04">
      <w:pPr>
        <w:pStyle w:val="IOPH1"/>
        <w:spacing w:before="0"/>
        <w:rPr>
          <w:rFonts w:ascii="Times New Roman" w:hAnsi="Times New Roman"/>
          <w:b w:val="0"/>
          <w:bCs/>
          <w:noProof/>
          <w:sz w:val="16"/>
          <w:szCs w:val="16"/>
        </w:rPr>
      </w:pPr>
      <w:r w:rsidRPr="00F50A04">
        <w:rPr>
          <w:rFonts w:ascii="Times New Roman" w:hAnsi="Times New Roman"/>
          <w:b w:val="0"/>
          <w:bCs/>
          <w:noProof/>
          <w:sz w:val="16"/>
          <w:szCs w:val="16"/>
        </w:rPr>
        <w:t>5.</w:t>
      </w:r>
      <w:r>
        <w:rPr>
          <w:rFonts w:ascii="Times New Roman" w:hAnsi="Times New Roman"/>
          <w:b w:val="0"/>
          <w:bCs/>
          <w:noProof/>
          <w:sz w:val="16"/>
          <w:szCs w:val="16"/>
        </w:rPr>
        <w:t xml:space="preserve"> </w:t>
      </w:r>
      <w:r w:rsidRPr="00F50A04">
        <w:rPr>
          <w:rFonts w:ascii="Times New Roman" w:hAnsi="Times New Roman"/>
          <w:b w:val="0"/>
          <w:bCs/>
          <w:noProof/>
          <w:sz w:val="16"/>
          <w:szCs w:val="16"/>
        </w:rPr>
        <w:t>Insinga RP, Ng-Mak DS, Hanson ME. Costs associated with outpatient, emergency room and inpatient care for migraine in the USA. Cephalalgia. 2011;31(15):1570-1575. doi:10.1177/0333102411425960</w:t>
      </w:r>
    </w:p>
    <w:p w14:paraId="0FE0C369" w14:textId="7907298E" w:rsidR="00F50A04" w:rsidRPr="00F50A04" w:rsidRDefault="00F50A04" w:rsidP="00F50A04">
      <w:pPr>
        <w:pStyle w:val="IOPH1"/>
        <w:spacing w:before="0"/>
        <w:rPr>
          <w:rFonts w:ascii="Times New Roman" w:hAnsi="Times New Roman"/>
          <w:b w:val="0"/>
          <w:bCs/>
          <w:noProof/>
          <w:sz w:val="16"/>
          <w:szCs w:val="16"/>
        </w:rPr>
      </w:pPr>
      <w:r w:rsidRPr="00F50A04">
        <w:rPr>
          <w:rFonts w:ascii="Times New Roman" w:hAnsi="Times New Roman"/>
          <w:b w:val="0"/>
          <w:bCs/>
          <w:noProof/>
          <w:sz w:val="16"/>
          <w:szCs w:val="16"/>
        </w:rPr>
        <w:t>6.</w:t>
      </w:r>
      <w:r>
        <w:rPr>
          <w:rFonts w:ascii="Times New Roman" w:hAnsi="Times New Roman"/>
          <w:b w:val="0"/>
          <w:bCs/>
          <w:noProof/>
          <w:sz w:val="16"/>
          <w:szCs w:val="16"/>
        </w:rPr>
        <w:t xml:space="preserve"> </w:t>
      </w:r>
      <w:r w:rsidRPr="00F50A04">
        <w:rPr>
          <w:rFonts w:ascii="Times New Roman" w:hAnsi="Times New Roman"/>
          <w:b w:val="0"/>
          <w:bCs/>
          <w:noProof/>
          <w:sz w:val="16"/>
          <w:szCs w:val="16"/>
        </w:rPr>
        <w:t>An APP-Led Infusion Center Can Reduce Hospital Use for Patients With Cancer. ONS Voice. https://voice.ons.org/conferences/an-app-led-infusion-center-can-reduce-hospital-use-for-patients-with-cancer. Published November 2, 2018. Accessed September 25, 2023.</w:t>
      </w:r>
    </w:p>
    <w:p w14:paraId="3CB55C80" w14:textId="73E3650A" w:rsidR="00F50A04" w:rsidRPr="00F50A04" w:rsidRDefault="00F50A04" w:rsidP="00F50A04">
      <w:pPr>
        <w:pStyle w:val="IOPH1"/>
        <w:spacing w:before="0"/>
        <w:rPr>
          <w:rFonts w:ascii="Times New Roman" w:hAnsi="Times New Roman"/>
          <w:b w:val="0"/>
          <w:bCs/>
          <w:noProof/>
          <w:sz w:val="16"/>
          <w:szCs w:val="16"/>
        </w:rPr>
      </w:pPr>
      <w:r w:rsidRPr="00F50A04">
        <w:rPr>
          <w:rFonts w:ascii="Times New Roman" w:hAnsi="Times New Roman"/>
          <w:b w:val="0"/>
          <w:bCs/>
          <w:noProof/>
          <w:sz w:val="16"/>
          <w:szCs w:val="16"/>
        </w:rPr>
        <w:t>7.</w:t>
      </w:r>
      <w:r>
        <w:rPr>
          <w:rFonts w:ascii="Times New Roman" w:hAnsi="Times New Roman"/>
          <w:b w:val="0"/>
          <w:bCs/>
          <w:noProof/>
          <w:sz w:val="16"/>
          <w:szCs w:val="16"/>
        </w:rPr>
        <w:t xml:space="preserve"> </w:t>
      </w:r>
      <w:r w:rsidRPr="00F50A04">
        <w:rPr>
          <w:rFonts w:ascii="Times New Roman" w:hAnsi="Times New Roman"/>
          <w:b w:val="0"/>
          <w:bCs/>
          <w:noProof/>
          <w:sz w:val="16"/>
          <w:szCs w:val="16"/>
        </w:rPr>
        <w:t>Graham J, Ballejos C, Jenkins D, Kelley C. Implementation of an Emergency Department-Embedded Infusion Center for the Administration of Monoclonal Antibody Therapy in Patients With Early COVID-19 Infection. J Infus Nurs. 2022;45(1):41-48. doi:10.1097/NAN.0000000000000453</w:t>
      </w:r>
    </w:p>
    <w:p w14:paraId="75FF6280" w14:textId="4F5AFF97" w:rsidR="00F50A04" w:rsidRPr="00F50A04" w:rsidRDefault="00F50A04" w:rsidP="00F50A04">
      <w:pPr>
        <w:pStyle w:val="IOPH1"/>
        <w:spacing w:before="0"/>
        <w:rPr>
          <w:rFonts w:ascii="Times New Roman" w:hAnsi="Times New Roman"/>
          <w:b w:val="0"/>
          <w:bCs/>
          <w:noProof/>
          <w:sz w:val="16"/>
          <w:szCs w:val="16"/>
        </w:rPr>
      </w:pPr>
      <w:r w:rsidRPr="00F50A04">
        <w:rPr>
          <w:rFonts w:ascii="Times New Roman" w:hAnsi="Times New Roman"/>
          <w:b w:val="0"/>
          <w:bCs/>
          <w:noProof/>
          <w:sz w:val="16"/>
          <w:szCs w:val="16"/>
        </w:rPr>
        <w:t>8.</w:t>
      </w:r>
      <w:r>
        <w:rPr>
          <w:rFonts w:ascii="Times New Roman" w:hAnsi="Times New Roman"/>
          <w:b w:val="0"/>
          <w:bCs/>
          <w:noProof/>
          <w:sz w:val="16"/>
          <w:szCs w:val="16"/>
        </w:rPr>
        <w:t xml:space="preserve"> </w:t>
      </w:r>
      <w:r w:rsidRPr="00F50A04">
        <w:rPr>
          <w:rFonts w:ascii="Times New Roman" w:hAnsi="Times New Roman"/>
          <w:b w:val="0"/>
          <w:bCs/>
          <w:noProof/>
          <w:sz w:val="16"/>
          <w:szCs w:val="16"/>
        </w:rPr>
        <w:t>Schreyer KE, Martin R. The Economics of an Admissions Holding Unit. West J Emerg Med. 2017;18(4):553-558. doi:10.5811/westjem.2017.4.32740</w:t>
      </w:r>
    </w:p>
    <w:p w14:paraId="177FE853" w14:textId="77777777" w:rsidR="00D85B42" w:rsidRPr="00F50A04" w:rsidRDefault="00D85B42" w:rsidP="00D85B42">
      <w:pPr>
        <w:pStyle w:val="IOPRefs"/>
        <w:numPr>
          <w:ilvl w:val="0"/>
          <w:numId w:val="0"/>
        </w:numPr>
        <w:ind w:left="284" w:hanging="284"/>
        <w:rPr>
          <w:bCs/>
          <w:sz w:val="16"/>
          <w:szCs w:val="16"/>
          <w:lang w:val="en-US"/>
        </w:rPr>
      </w:pPr>
    </w:p>
    <w:p w14:paraId="2950241A" w14:textId="77777777" w:rsidR="00D85B42" w:rsidRPr="00F50A04" w:rsidRDefault="00D85B42" w:rsidP="00D85B42">
      <w:pPr>
        <w:pStyle w:val="IOPRefs"/>
        <w:numPr>
          <w:ilvl w:val="0"/>
          <w:numId w:val="0"/>
        </w:numPr>
        <w:ind w:left="284" w:hanging="284"/>
        <w:rPr>
          <w:bCs/>
          <w:sz w:val="16"/>
          <w:szCs w:val="16"/>
          <w:lang w:val="en-US"/>
        </w:rPr>
      </w:pPr>
    </w:p>
    <w:p w14:paraId="5E13C239" w14:textId="77777777" w:rsidR="00D85B42" w:rsidRPr="00F50A04" w:rsidRDefault="00D85B42" w:rsidP="00D85B42">
      <w:pPr>
        <w:pStyle w:val="IOPRefs"/>
        <w:numPr>
          <w:ilvl w:val="0"/>
          <w:numId w:val="0"/>
        </w:numPr>
        <w:ind w:left="284" w:hanging="284"/>
        <w:rPr>
          <w:bCs/>
          <w:sz w:val="16"/>
          <w:szCs w:val="16"/>
          <w:lang w:val="en-US"/>
        </w:rPr>
      </w:pPr>
    </w:p>
    <w:p w14:paraId="5290519C" w14:textId="77777777" w:rsidR="00D85B42" w:rsidRPr="00F50A04" w:rsidRDefault="00D85B42" w:rsidP="00D85B42">
      <w:pPr>
        <w:pStyle w:val="IOPRefs"/>
        <w:numPr>
          <w:ilvl w:val="0"/>
          <w:numId w:val="0"/>
        </w:numPr>
        <w:ind w:left="284" w:hanging="284"/>
        <w:rPr>
          <w:bCs/>
          <w:sz w:val="16"/>
          <w:szCs w:val="16"/>
          <w:lang w:val="en-US"/>
        </w:rPr>
      </w:pPr>
    </w:p>
    <w:p w14:paraId="254FE648" w14:textId="77777777" w:rsidR="00D85B42" w:rsidRPr="00F50A04" w:rsidRDefault="00D85B42" w:rsidP="00D85B42">
      <w:pPr>
        <w:pStyle w:val="IOPRefs"/>
        <w:numPr>
          <w:ilvl w:val="0"/>
          <w:numId w:val="0"/>
        </w:numPr>
        <w:ind w:left="284" w:hanging="284"/>
        <w:rPr>
          <w:bCs/>
          <w:sz w:val="16"/>
          <w:szCs w:val="16"/>
          <w:lang w:val="en-US"/>
        </w:rPr>
      </w:pPr>
    </w:p>
    <w:p w14:paraId="557F6C96" w14:textId="77777777" w:rsidR="00D85B42" w:rsidRPr="00F50A04" w:rsidRDefault="00D85B42" w:rsidP="00D85B42">
      <w:pPr>
        <w:pStyle w:val="IOPRefs"/>
        <w:numPr>
          <w:ilvl w:val="0"/>
          <w:numId w:val="0"/>
        </w:numPr>
        <w:ind w:left="284" w:hanging="284"/>
        <w:rPr>
          <w:bCs/>
          <w:sz w:val="16"/>
          <w:szCs w:val="16"/>
          <w:lang w:val="en-US"/>
        </w:rPr>
      </w:pPr>
    </w:p>
    <w:p w14:paraId="7F0C0914" w14:textId="77777777" w:rsidR="00D85B42" w:rsidRPr="00F50A04" w:rsidRDefault="00D85B42" w:rsidP="00D85B42">
      <w:pPr>
        <w:pStyle w:val="IOPRefs"/>
        <w:numPr>
          <w:ilvl w:val="0"/>
          <w:numId w:val="0"/>
        </w:numPr>
        <w:ind w:left="284" w:hanging="284"/>
        <w:rPr>
          <w:bCs/>
          <w:sz w:val="16"/>
          <w:szCs w:val="16"/>
          <w:lang w:val="en-US"/>
        </w:rPr>
      </w:pPr>
    </w:p>
    <w:p w14:paraId="2AC676FF" w14:textId="77777777" w:rsidR="00D85B42" w:rsidRPr="00F50A04" w:rsidRDefault="00D85B42" w:rsidP="00D85B42">
      <w:pPr>
        <w:pStyle w:val="IOPRefs"/>
        <w:numPr>
          <w:ilvl w:val="0"/>
          <w:numId w:val="0"/>
        </w:numPr>
        <w:ind w:left="284" w:hanging="284"/>
        <w:rPr>
          <w:bCs/>
          <w:sz w:val="16"/>
          <w:szCs w:val="16"/>
          <w:lang w:val="en-US"/>
        </w:rPr>
      </w:pPr>
    </w:p>
    <w:p w14:paraId="338CCC0F" w14:textId="77777777" w:rsidR="00D85B42" w:rsidRPr="00F50A04" w:rsidRDefault="00D85B42" w:rsidP="00D85B42">
      <w:pPr>
        <w:pStyle w:val="IOPRefs"/>
        <w:numPr>
          <w:ilvl w:val="0"/>
          <w:numId w:val="0"/>
        </w:numPr>
        <w:ind w:left="284" w:hanging="284"/>
        <w:rPr>
          <w:bCs/>
          <w:sz w:val="16"/>
          <w:szCs w:val="16"/>
          <w:lang w:val="en-US"/>
        </w:rPr>
      </w:pPr>
    </w:p>
    <w:p w14:paraId="496A37FB" w14:textId="77777777" w:rsidR="00D85B42" w:rsidRPr="00F50A04" w:rsidRDefault="00D85B42" w:rsidP="00D85B42">
      <w:pPr>
        <w:pStyle w:val="IOPRefs"/>
        <w:numPr>
          <w:ilvl w:val="0"/>
          <w:numId w:val="0"/>
        </w:numPr>
        <w:ind w:left="284" w:hanging="284"/>
        <w:rPr>
          <w:bCs/>
          <w:sz w:val="16"/>
          <w:szCs w:val="16"/>
          <w:lang w:val="en-US"/>
        </w:rPr>
      </w:pPr>
    </w:p>
    <w:p w14:paraId="153A9D41" w14:textId="77777777" w:rsidR="00D85B42" w:rsidRPr="00F50A04" w:rsidRDefault="00D85B42" w:rsidP="00D85B42">
      <w:pPr>
        <w:pStyle w:val="IOPRefs"/>
        <w:numPr>
          <w:ilvl w:val="0"/>
          <w:numId w:val="0"/>
        </w:numPr>
        <w:ind w:left="284" w:hanging="284"/>
        <w:rPr>
          <w:bCs/>
          <w:sz w:val="16"/>
          <w:szCs w:val="16"/>
          <w:lang w:val="en-US"/>
        </w:rPr>
      </w:pPr>
    </w:p>
    <w:p w14:paraId="5E4CCF19" w14:textId="77777777" w:rsidR="00D85B42" w:rsidRPr="00F50A04" w:rsidRDefault="00D85B42" w:rsidP="00D85B42">
      <w:pPr>
        <w:pStyle w:val="IOPRefs"/>
        <w:numPr>
          <w:ilvl w:val="0"/>
          <w:numId w:val="0"/>
        </w:numPr>
        <w:ind w:left="284" w:hanging="284"/>
        <w:rPr>
          <w:bCs/>
          <w:sz w:val="16"/>
          <w:szCs w:val="16"/>
          <w:lang w:val="en-US"/>
        </w:rPr>
      </w:pPr>
    </w:p>
    <w:p w14:paraId="1AABE316" w14:textId="77777777" w:rsidR="00D85B42" w:rsidRPr="00F50A04" w:rsidRDefault="00D85B42" w:rsidP="00D85B42">
      <w:pPr>
        <w:pStyle w:val="IOPRefs"/>
        <w:numPr>
          <w:ilvl w:val="0"/>
          <w:numId w:val="0"/>
        </w:numPr>
        <w:ind w:left="284" w:hanging="284"/>
        <w:rPr>
          <w:bCs/>
          <w:sz w:val="16"/>
          <w:szCs w:val="16"/>
          <w:lang w:val="en-US"/>
        </w:rPr>
      </w:pPr>
    </w:p>
    <w:p w14:paraId="04578B24" w14:textId="77777777" w:rsidR="00D85B42" w:rsidRPr="00F50A04" w:rsidRDefault="00D85B42" w:rsidP="00D85B42">
      <w:pPr>
        <w:pStyle w:val="IOPRefs"/>
        <w:numPr>
          <w:ilvl w:val="0"/>
          <w:numId w:val="0"/>
        </w:numPr>
        <w:ind w:left="284" w:hanging="284"/>
        <w:rPr>
          <w:bCs/>
          <w:sz w:val="16"/>
          <w:szCs w:val="16"/>
          <w:lang w:val="en-US"/>
        </w:rPr>
      </w:pPr>
    </w:p>
    <w:p w14:paraId="5EF09C25" w14:textId="77777777" w:rsidR="00D85B42" w:rsidRPr="00F50A04" w:rsidRDefault="00D85B42" w:rsidP="00D85B42">
      <w:pPr>
        <w:pStyle w:val="IOPRefs"/>
        <w:numPr>
          <w:ilvl w:val="0"/>
          <w:numId w:val="0"/>
        </w:numPr>
        <w:ind w:left="284" w:hanging="284"/>
        <w:rPr>
          <w:bCs/>
          <w:sz w:val="16"/>
          <w:szCs w:val="16"/>
          <w:lang w:val="en-US"/>
        </w:rPr>
      </w:pPr>
    </w:p>
    <w:p w14:paraId="40F70501" w14:textId="77777777" w:rsidR="00D85B42" w:rsidRPr="00F50A04" w:rsidRDefault="00D85B42" w:rsidP="00D85B42">
      <w:pPr>
        <w:pStyle w:val="IOPRefs"/>
        <w:numPr>
          <w:ilvl w:val="0"/>
          <w:numId w:val="0"/>
        </w:numPr>
        <w:ind w:left="284" w:hanging="284"/>
        <w:rPr>
          <w:bCs/>
          <w:sz w:val="16"/>
          <w:szCs w:val="16"/>
          <w:lang w:val="en-US"/>
        </w:rPr>
      </w:pPr>
    </w:p>
    <w:p w14:paraId="79C79A2B" w14:textId="77777777" w:rsidR="00D85B42" w:rsidRPr="00F50A04" w:rsidRDefault="00D85B42" w:rsidP="00D85B42">
      <w:pPr>
        <w:pStyle w:val="IOPRefs"/>
        <w:numPr>
          <w:ilvl w:val="0"/>
          <w:numId w:val="0"/>
        </w:numPr>
        <w:ind w:left="284" w:hanging="284"/>
        <w:rPr>
          <w:bCs/>
          <w:sz w:val="16"/>
          <w:szCs w:val="16"/>
          <w:lang w:val="en-US"/>
        </w:rPr>
      </w:pPr>
    </w:p>
    <w:p w14:paraId="359A39BF" w14:textId="77777777" w:rsidR="00D85B42" w:rsidRPr="00F50A04" w:rsidRDefault="00D85B42" w:rsidP="00D85B42">
      <w:pPr>
        <w:pStyle w:val="IOPRefs"/>
        <w:numPr>
          <w:ilvl w:val="0"/>
          <w:numId w:val="0"/>
        </w:numPr>
        <w:ind w:left="284" w:hanging="284"/>
        <w:rPr>
          <w:bCs/>
          <w:sz w:val="16"/>
          <w:szCs w:val="16"/>
          <w:lang w:val="en-US"/>
        </w:rPr>
      </w:pPr>
    </w:p>
    <w:p w14:paraId="189ECBE3" w14:textId="77777777" w:rsidR="00D85B42" w:rsidRDefault="00D85B42" w:rsidP="00D85B42">
      <w:pPr>
        <w:pStyle w:val="IOPRefs"/>
        <w:numPr>
          <w:ilvl w:val="0"/>
          <w:numId w:val="0"/>
        </w:numPr>
        <w:ind w:left="284" w:hanging="284"/>
        <w:rPr>
          <w:sz w:val="24"/>
          <w:szCs w:val="32"/>
          <w:lang w:val="en-US"/>
        </w:rPr>
      </w:pPr>
    </w:p>
    <w:p w14:paraId="6F3ED476" w14:textId="77777777" w:rsidR="00D85B42" w:rsidRDefault="00D85B42" w:rsidP="00D85B42">
      <w:pPr>
        <w:pStyle w:val="IOPRefs"/>
        <w:numPr>
          <w:ilvl w:val="0"/>
          <w:numId w:val="0"/>
        </w:numPr>
        <w:ind w:left="284" w:hanging="284"/>
        <w:rPr>
          <w:sz w:val="24"/>
          <w:szCs w:val="32"/>
          <w:lang w:val="en-US"/>
        </w:rPr>
      </w:pPr>
    </w:p>
    <w:p w14:paraId="6A0D4B06" w14:textId="77777777" w:rsidR="00D85B42" w:rsidRDefault="00D85B42" w:rsidP="00D85B42">
      <w:pPr>
        <w:pStyle w:val="IOPRefs"/>
        <w:numPr>
          <w:ilvl w:val="0"/>
          <w:numId w:val="0"/>
        </w:numPr>
        <w:ind w:left="284" w:hanging="284"/>
        <w:rPr>
          <w:sz w:val="24"/>
          <w:szCs w:val="32"/>
          <w:lang w:val="en-US"/>
        </w:rPr>
      </w:pPr>
    </w:p>
    <w:p w14:paraId="2DD682E9" w14:textId="77777777" w:rsidR="0043535F" w:rsidRDefault="0043535F" w:rsidP="00F50A04">
      <w:pPr>
        <w:pStyle w:val="IOPRefs"/>
        <w:numPr>
          <w:ilvl w:val="0"/>
          <w:numId w:val="0"/>
        </w:numPr>
        <w:rPr>
          <w:sz w:val="24"/>
          <w:szCs w:val="32"/>
          <w:lang w:val="en-US"/>
        </w:rPr>
        <w:sectPr w:rsidR="0043535F" w:rsidSect="009602A7">
          <w:headerReference w:type="default" r:id="rId18"/>
          <w:footerReference w:type="default" r:id="rId19"/>
          <w:type w:val="continuous"/>
          <w:pgSz w:w="11906" w:h="16838" w:code="9"/>
          <w:pgMar w:top="1800" w:right="1008" w:bottom="1800" w:left="1008" w:header="720" w:footer="720" w:gutter="0"/>
          <w:cols w:num="2" w:space="227"/>
          <w:docGrid w:linePitch="360"/>
        </w:sectPr>
      </w:pPr>
    </w:p>
    <w:p w14:paraId="2EE3DF4F" w14:textId="44C58C30" w:rsidR="00D85B42" w:rsidRDefault="00D85B42" w:rsidP="00F50A04">
      <w:pPr>
        <w:pStyle w:val="IOPRefs"/>
        <w:numPr>
          <w:ilvl w:val="0"/>
          <w:numId w:val="0"/>
        </w:numPr>
        <w:rPr>
          <w:sz w:val="24"/>
          <w:szCs w:val="32"/>
          <w:lang w:val="en-US"/>
        </w:rPr>
      </w:pPr>
      <w:r>
        <w:rPr>
          <w:sz w:val="24"/>
          <w:szCs w:val="32"/>
          <w:lang w:val="en-US"/>
        </w:rPr>
        <w:t>Table 1: Medications considered for evaluation</w:t>
      </w:r>
      <w:r w:rsidR="0043535F">
        <w:rPr>
          <w:sz w:val="24"/>
          <w:szCs w:val="32"/>
          <w:lang w:val="en-US"/>
        </w:rPr>
        <w:t xml:space="preserve"> in study.</w:t>
      </w:r>
    </w:p>
    <w:tbl>
      <w:tblPr>
        <w:tblStyle w:val="TableGrid"/>
        <w:tblW w:w="10620" w:type="dxa"/>
        <w:tblInd w:w="-545" w:type="dxa"/>
        <w:tblLayout w:type="fixed"/>
        <w:tblLook w:val="04A0" w:firstRow="1" w:lastRow="0" w:firstColumn="1" w:lastColumn="0" w:noHBand="0" w:noVBand="1"/>
      </w:tblPr>
      <w:tblGrid>
        <w:gridCol w:w="1350"/>
        <w:gridCol w:w="1980"/>
        <w:gridCol w:w="1980"/>
        <w:gridCol w:w="1530"/>
        <w:gridCol w:w="1890"/>
        <w:gridCol w:w="1890"/>
      </w:tblGrid>
      <w:tr w:rsidR="00D85B42" w:rsidRPr="0043535F" w14:paraId="377B4DD1" w14:textId="77777777" w:rsidTr="00D85B42">
        <w:tc>
          <w:tcPr>
            <w:tcW w:w="1350" w:type="dxa"/>
          </w:tcPr>
          <w:p w14:paraId="78E92CB4" w14:textId="77777777" w:rsidR="00D85B42" w:rsidRPr="0043535F" w:rsidRDefault="00D85B42" w:rsidP="00F656A0">
            <w:pPr>
              <w:spacing w:after="0"/>
              <w:jc w:val="center"/>
              <w:rPr>
                <w:rFonts w:ascii="Times New Roman" w:hAnsi="Times New Roman"/>
                <w:b/>
                <w:bCs/>
              </w:rPr>
            </w:pPr>
            <w:r w:rsidRPr="0043535F">
              <w:rPr>
                <w:rFonts w:ascii="Times New Roman" w:hAnsi="Times New Roman"/>
                <w:b/>
                <w:bCs/>
              </w:rPr>
              <w:t>Antibiotics</w:t>
            </w:r>
          </w:p>
        </w:tc>
        <w:tc>
          <w:tcPr>
            <w:tcW w:w="1980" w:type="dxa"/>
          </w:tcPr>
          <w:p w14:paraId="2464DBE5" w14:textId="77777777" w:rsidR="00D85B42" w:rsidRPr="0043535F" w:rsidRDefault="00D85B42" w:rsidP="00F656A0">
            <w:pPr>
              <w:spacing w:after="0"/>
              <w:jc w:val="center"/>
              <w:rPr>
                <w:rFonts w:ascii="Times New Roman" w:hAnsi="Times New Roman"/>
                <w:b/>
                <w:bCs/>
              </w:rPr>
            </w:pPr>
            <w:r w:rsidRPr="0043535F">
              <w:rPr>
                <w:rFonts w:ascii="Times New Roman" w:hAnsi="Times New Roman"/>
                <w:b/>
                <w:bCs/>
              </w:rPr>
              <w:t>Migraine Management</w:t>
            </w:r>
          </w:p>
        </w:tc>
        <w:tc>
          <w:tcPr>
            <w:tcW w:w="1980" w:type="dxa"/>
          </w:tcPr>
          <w:p w14:paraId="4C54A640" w14:textId="77777777" w:rsidR="00D85B42" w:rsidRPr="0043535F" w:rsidRDefault="00D85B42" w:rsidP="00F656A0">
            <w:pPr>
              <w:spacing w:after="0"/>
              <w:jc w:val="center"/>
              <w:rPr>
                <w:rFonts w:ascii="Times New Roman" w:hAnsi="Times New Roman"/>
                <w:b/>
                <w:bCs/>
              </w:rPr>
            </w:pPr>
            <w:r w:rsidRPr="0043535F">
              <w:rPr>
                <w:rFonts w:ascii="Times New Roman" w:hAnsi="Times New Roman"/>
                <w:b/>
                <w:bCs/>
              </w:rPr>
              <w:t>OBGYN Management</w:t>
            </w:r>
          </w:p>
        </w:tc>
        <w:tc>
          <w:tcPr>
            <w:tcW w:w="1530" w:type="dxa"/>
          </w:tcPr>
          <w:p w14:paraId="667AB8B8" w14:textId="77777777" w:rsidR="00D85B42" w:rsidRPr="0043535F" w:rsidRDefault="00D85B42" w:rsidP="00F656A0">
            <w:pPr>
              <w:spacing w:after="0"/>
              <w:jc w:val="center"/>
              <w:rPr>
                <w:rFonts w:ascii="Times New Roman" w:hAnsi="Times New Roman"/>
                <w:b/>
                <w:bCs/>
              </w:rPr>
            </w:pPr>
            <w:r w:rsidRPr="0043535F">
              <w:rPr>
                <w:rFonts w:ascii="Times New Roman" w:hAnsi="Times New Roman"/>
                <w:b/>
                <w:bCs/>
              </w:rPr>
              <w:t>COVID Treatments</w:t>
            </w:r>
          </w:p>
        </w:tc>
        <w:tc>
          <w:tcPr>
            <w:tcW w:w="1890" w:type="dxa"/>
          </w:tcPr>
          <w:p w14:paraId="0D0D5206" w14:textId="77777777" w:rsidR="00D85B42" w:rsidRPr="0043535F" w:rsidRDefault="00D85B42" w:rsidP="00F656A0">
            <w:pPr>
              <w:spacing w:after="0"/>
              <w:jc w:val="center"/>
              <w:rPr>
                <w:rFonts w:ascii="Times New Roman" w:hAnsi="Times New Roman"/>
                <w:b/>
                <w:bCs/>
              </w:rPr>
            </w:pPr>
            <w:r w:rsidRPr="0043535F">
              <w:rPr>
                <w:rFonts w:ascii="Times New Roman" w:hAnsi="Times New Roman"/>
                <w:b/>
                <w:bCs/>
              </w:rPr>
              <w:t>Post-Exposure Prophylaxis</w:t>
            </w:r>
          </w:p>
        </w:tc>
        <w:tc>
          <w:tcPr>
            <w:tcW w:w="1890" w:type="dxa"/>
          </w:tcPr>
          <w:p w14:paraId="5310683A" w14:textId="77777777" w:rsidR="00D85B42" w:rsidRPr="0043535F" w:rsidRDefault="00D85B42" w:rsidP="00F656A0">
            <w:pPr>
              <w:spacing w:after="0"/>
              <w:jc w:val="center"/>
              <w:rPr>
                <w:rFonts w:ascii="Times New Roman" w:hAnsi="Times New Roman"/>
                <w:b/>
                <w:bCs/>
              </w:rPr>
            </w:pPr>
            <w:r w:rsidRPr="0043535F">
              <w:rPr>
                <w:rFonts w:ascii="Times New Roman" w:hAnsi="Times New Roman"/>
                <w:b/>
                <w:bCs/>
              </w:rPr>
              <w:t>Miscellaneous</w:t>
            </w:r>
          </w:p>
        </w:tc>
      </w:tr>
      <w:tr w:rsidR="00D85B42" w:rsidRPr="0043535F" w14:paraId="4AFFB27D" w14:textId="77777777" w:rsidTr="00D85B42">
        <w:tc>
          <w:tcPr>
            <w:tcW w:w="1350" w:type="dxa"/>
          </w:tcPr>
          <w:p w14:paraId="10650F1D" w14:textId="77777777" w:rsidR="00D85B42" w:rsidRPr="0043535F" w:rsidRDefault="00D85B42" w:rsidP="00F656A0">
            <w:pPr>
              <w:spacing w:after="0"/>
              <w:jc w:val="center"/>
              <w:rPr>
                <w:rFonts w:ascii="Times New Roman" w:hAnsi="Times New Roman"/>
              </w:rPr>
            </w:pPr>
            <w:r w:rsidRPr="0043535F">
              <w:rPr>
                <w:rFonts w:ascii="Times New Roman" w:hAnsi="Times New Roman"/>
              </w:rPr>
              <w:t>Penicillin G IM</w:t>
            </w:r>
          </w:p>
        </w:tc>
        <w:tc>
          <w:tcPr>
            <w:tcW w:w="1980" w:type="dxa"/>
          </w:tcPr>
          <w:p w14:paraId="10018A41" w14:textId="77777777" w:rsidR="00D85B42" w:rsidRPr="0043535F" w:rsidRDefault="00D85B42" w:rsidP="00F656A0">
            <w:pPr>
              <w:spacing w:after="0"/>
              <w:jc w:val="center"/>
              <w:rPr>
                <w:rFonts w:ascii="Times New Roman" w:hAnsi="Times New Roman"/>
              </w:rPr>
            </w:pPr>
            <w:r w:rsidRPr="0043535F">
              <w:rPr>
                <w:rFonts w:ascii="Times New Roman" w:hAnsi="Times New Roman"/>
              </w:rPr>
              <w:t>Caffeine sodium benzoate</w:t>
            </w:r>
          </w:p>
        </w:tc>
        <w:tc>
          <w:tcPr>
            <w:tcW w:w="1980" w:type="dxa"/>
          </w:tcPr>
          <w:p w14:paraId="2621945D" w14:textId="77777777" w:rsidR="00D85B42" w:rsidRPr="0043535F" w:rsidRDefault="00D85B42" w:rsidP="00F656A0">
            <w:pPr>
              <w:spacing w:after="0"/>
              <w:jc w:val="center"/>
              <w:rPr>
                <w:rFonts w:ascii="Times New Roman" w:hAnsi="Times New Roman"/>
              </w:rPr>
            </w:pPr>
            <w:r w:rsidRPr="0043535F">
              <w:rPr>
                <w:rFonts w:ascii="Times New Roman" w:hAnsi="Times New Roman"/>
              </w:rPr>
              <w:t>Methotrexate IM</w:t>
            </w:r>
          </w:p>
        </w:tc>
        <w:tc>
          <w:tcPr>
            <w:tcW w:w="1530" w:type="dxa"/>
          </w:tcPr>
          <w:p w14:paraId="714588D3" w14:textId="77777777" w:rsidR="00D85B42" w:rsidRPr="0043535F" w:rsidRDefault="00D85B42" w:rsidP="00F656A0">
            <w:pPr>
              <w:spacing w:after="0"/>
              <w:jc w:val="center"/>
              <w:rPr>
                <w:rFonts w:ascii="Times New Roman" w:hAnsi="Times New Roman"/>
              </w:rPr>
            </w:pPr>
            <w:r w:rsidRPr="0043535F">
              <w:rPr>
                <w:rFonts w:ascii="Times New Roman" w:hAnsi="Times New Roman"/>
              </w:rPr>
              <w:t>Bamlanivimab</w:t>
            </w:r>
          </w:p>
        </w:tc>
        <w:tc>
          <w:tcPr>
            <w:tcW w:w="1890" w:type="dxa"/>
          </w:tcPr>
          <w:p w14:paraId="139F0D14" w14:textId="77777777" w:rsidR="00D85B42" w:rsidRPr="0043535F" w:rsidRDefault="00D85B42" w:rsidP="00F656A0">
            <w:pPr>
              <w:spacing w:after="0"/>
              <w:jc w:val="center"/>
              <w:rPr>
                <w:rFonts w:ascii="Times New Roman" w:hAnsi="Times New Roman"/>
              </w:rPr>
            </w:pPr>
            <w:r w:rsidRPr="0043535F">
              <w:rPr>
                <w:rFonts w:ascii="Times New Roman" w:hAnsi="Times New Roman"/>
              </w:rPr>
              <w:t>Rabies immune globulin</w:t>
            </w:r>
          </w:p>
        </w:tc>
        <w:tc>
          <w:tcPr>
            <w:tcW w:w="1890" w:type="dxa"/>
          </w:tcPr>
          <w:p w14:paraId="57C566A5" w14:textId="77777777" w:rsidR="00D85B42" w:rsidRPr="0043535F" w:rsidRDefault="00D85B42" w:rsidP="00F656A0">
            <w:pPr>
              <w:spacing w:after="0"/>
              <w:jc w:val="center"/>
              <w:rPr>
                <w:rFonts w:ascii="Times New Roman" w:hAnsi="Times New Roman"/>
              </w:rPr>
            </w:pPr>
            <w:r w:rsidRPr="0043535F">
              <w:rPr>
                <w:rFonts w:ascii="Times New Roman" w:hAnsi="Times New Roman"/>
              </w:rPr>
              <w:t>Intravenous immune globulin</w:t>
            </w:r>
          </w:p>
        </w:tc>
      </w:tr>
      <w:tr w:rsidR="00D85B42" w:rsidRPr="0043535F" w14:paraId="78C4701E" w14:textId="77777777" w:rsidTr="00D85B42">
        <w:tc>
          <w:tcPr>
            <w:tcW w:w="1350" w:type="dxa"/>
          </w:tcPr>
          <w:p w14:paraId="4E6F4A7D" w14:textId="77777777" w:rsidR="00D85B42" w:rsidRPr="0043535F" w:rsidRDefault="00D85B42" w:rsidP="00F656A0">
            <w:pPr>
              <w:spacing w:after="0"/>
              <w:jc w:val="center"/>
              <w:rPr>
                <w:rFonts w:ascii="Times New Roman" w:hAnsi="Times New Roman"/>
              </w:rPr>
            </w:pPr>
            <w:r w:rsidRPr="0043535F">
              <w:rPr>
                <w:rFonts w:ascii="Times New Roman" w:hAnsi="Times New Roman"/>
              </w:rPr>
              <w:t>Gentamicin IM</w:t>
            </w:r>
          </w:p>
        </w:tc>
        <w:tc>
          <w:tcPr>
            <w:tcW w:w="1980" w:type="dxa"/>
          </w:tcPr>
          <w:p w14:paraId="1E897886" w14:textId="77777777" w:rsidR="00D85B42" w:rsidRPr="0043535F" w:rsidRDefault="00D85B42" w:rsidP="00F656A0">
            <w:pPr>
              <w:spacing w:after="0"/>
              <w:jc w:val="center"/>
              <w:rPr>
                <w:rFonts w:ascii="Times New Roman" w:hAnsi="Times New Roman"/>
              </w:rPr>
            </w:pPr>
            <w:r w:rsidRPr="0043535F">
              <w:rPr>
                <w:rFonts w:ascii="Times New Roman" w:hAnsi="Times New Roman"/>
              </w:rPr>
              <w:t>Dihydroergotamine injection</w:t>
            </w:r>
          </w:p>
        </w:tc>
        <w:tc>
          <w:tcPr>
            <w:tcW w:w="1980" w:type="dxa"/>
          </w:tcPr>
          <w:p w14:paraId="1AE181BA" w14:textId="77777777" w:rsidR="00D85B42" w:rsidRPr="0043535F" w:rsidRDefault="00D85B42" w:rsidP="00F656A0">
            <w:pPr>
              <w:spacing w:after="0"/>
              <w:jc w:val="center"/>
              <w:rPr>
                <w:rFonts w:ascii="Times New Roman" w:hAnsi="Times New Roman"/>
              </w:rPr>
            </w:pPr>
            <w:r w:rsidRPr="0043535F">
              <w:rPr>
                <w:rFonts w:ascii="Times New Roman" w:hAnsi="Times New Roman"/>
              </w:rPr>
              <w:t>Rhophylac®</w:t>
            </w:r>
          </w:p>
          <w:p w14:paraId="583A7644" w14:textId="77777777" w:rsidR="00D85B42" w:rsidRPr="0043535F" w:rsidRDefault="00D85B42" w:rsidP="00F656A0">
            <w:pPr>
              <w:spacing w:after="0"/>
              <w:jc w:val="center"/>
              <w:rPr>
                <w:rFonts w:ascii="Times New Roman" w:hAnsi="Times New Roman"/>
              </w:rPr>
            </w:pPr>
          </w:p>
        </w:tc>
        <w:tc>
          <w:tcPr>
            <w:tcW w:w="1530" w:type="dxa"/>
          </w:tcPr>
          <w:p w14:paraId="55D7E34C" w14:textId="77777777" w:rsidR="00D85B42" w:rsidRPr="0043535F" w:rsidRDefault="00D85B42" w:rsidP="00F656A0">
            <w:pPr>
              <w:spacing w:after="0"/>
              <w:jc w:val="center"/>
              <w:rPr>
                <w:rFonts w:ascii="Times New Roman" w:hAnsi="Times New Roman"/>
              </w:rPr>
            </w:pPr>
            <w:r w:rsidRPr="0043535F">
              <w:rPr>
                <w:rFonts w:ascii="Times New Roman" w:hAnsi="Times New Roman"/>
              </w:rPr>
              <w:t>Bamlanivimab/estesevimab</w:t>
            </w:r>
          </w:p>
        </w:tc>
        <w:tc>
          <w:tcPr>
            <w:tcW w:w="1890" w:type="dxa"/>
          </w:tcPr>
          <w:p w14:paraId="5637B738" w14:textId="77777777" w:rsidR="00D85B42" w:rsidRPr="0043535F" w:rsidRDefault="00D85B42" w:rsidP="00F656A0">
            <w:pPr>
              <w:spacing w:after="0"/>
              <w:jc w:val="center"/>
              <w:rPr>
                <w:rFonts w:ascii="Times New Roman" w:hAnsi="Times New Roman"/>
              </w:rPr>
            </w:pPr>
            <w:r w:rsidRPr="0043535F">
              <w:rPr>
                <w:rFonts w:ascii="Times New Roman" w:hAnsi="Times New Roman"/>
              </w:rPr>
              <w:t>Rabies vaccine</w:t>
            </w:r>
          </w:p>
        </w:tc>
        <w:tc>
          <w:tcPr>
            <w:tcW w:w="1890" w:type="dxa"/>
          </w:tcPr>
          <w:p w14:paraId="327CCCAA" w14:textId="77777777" w:rsidR="00D85B42" w:rsidRPr="0043535F" w:rsidRDefault="00D85B42" w:rsidP="00F656A0">
            <w:pPr>
              <w:spacing w:after="0"/>
              <w:jc w:val="center"/>
              <w:rPr>
                <w:rFonts w:ascii="Times New Roman" w:hAnsi="Times New Roman"/>
              </w:rPr>
            </w:pPr>
            <w:r w:rsidRPr="0043535F">
              <w:rPr>
                <w:rFonts w:ascii="Times New Roman" w:hAnsi="Times New Roman"/>
              </w:rPr>
              <w:t>Iron dextran</w:t>
            </w:r>
          </w:p>
        </w:tc>
      </w:tr>
      <w:tr w:rsidR="00D85B42" w:rsidRPr="0043535F" w14:paraId="03D74912" w14:textId="77777777" w:rsidTr="00D85B42">
        <w:tc>
          <w:tcPr>
            <w:tcW w:w="1350" w:type="dxa"/>
          </w:tcPr>
          <w:p w14:paraId="230E315A" w14:textId="77777777" w:rsidR="00D85B42" w:rsidRPr="0043535F" w:rsidRDefault="00D85B42" w:rsidP="00F656A0">
            <w:pPr>
              <w:spacing w:after="0"/>
              <w:jc w:val="center"/>
              <w:rPr>
                <w:rFonts w:ascii="Times New Roman" w:hAnsi="Times New Roman"/>
              </w:rPr>
            </w:pPr>
            <w:r w:rsidRPr="0043535F">
              <w:rPr>
                <w:rFonts w:ascii="Times New Roman" w:hAnsi="Times New Roman"/>
              </w:rPr>
              <w:t>Ceftriaxone IM</w:t>
            </w:r>
          </w:p>
        </w:tc>
        <w:tc>
          <w:tcPr>
            <w:tcW w:w="1980" w:type="dxa"/>
          </w:tcPr>
          <w:p w14:paraId="7288064F" w14:textId="77777777" w:rsidR="00D85B42" w:rsidRPr="0043535F" w:rsidRDefault="00D85B42" w:rsidP="00F656A0">
            <w:pPr>
              <w:spacing w:after="0"/>
              <w:jc w:val="center"/>
              <w:rPr>
                <w:rFonts w:ascii="Times New Roman" w:hAnsi="Times New Roman"/>
              </w:rPr>
            </w:pPr>
            <w:r w:rsidRPr="0043535F">
              <w:rPr>
                <w:rFonts w:ascii="Times New Roman" w:hAnsi="Times New Roman"/>
              </w:rPr>
              <w:t>Sumatriptan injection</w:t>
            </w:r>
          </w:p>
        </w:tc>
        <w:tc>
          <w:tcPr>
            <w:tcW w:w="1980" w:type="dxa"/>
            <w:vMerge w:val="restart"/>
            <w:shd w:val="clear" w:color="auto" w:fill="FFFFFF" w:themeFill="background1"/>
          </w:tcPr>
          <w:p w14:paraId="676702E0" w14:textId="77777777" w:rsidR="00D85B42" w:rsidRPr="0043535F" w:rsidRDefault="00D85B42" w:rsidP="00F656A0">
            <w:pPr>
              <w:spacing w:after="0"/>
              <w:jc w:val="center"/>
              <w:rPr>
                <w:rFonts w:ascii="Times New Roman" w:hAnsi="Times New Roman"/>
              </w:rPr>
            </w:pPr>
          </w:p>
        </w:tc>
        <w:tc>
          <w:tcPr>
            <w:tcW w:w="1530" w:type="dxa"/>
          </w:tcPr>
          <w:p w14:paraId="75E64714" w14:textId="77777777" w:rsidR="00D85B42" w:rsidRPr="0043535F" w:rsidRDefault="00D85B42" w:rsidP="00F656A0">
            <w:pPr>
              <w:spacing w:after="0"/>
              <w:jc w:val="center"/>
              <w:rPr>
                <w:rFonts w:ascii="Times New Roman" w:hAnsi="Times New Roman"/>
              </w:rPr>
            </w:pPr>
            <w:r w:rsidRPr="0043535F">
              <w:rPr>
                <w:rFonts w:ascii="Times New Roman" w:hAnsi="Times New Roman"/>
              </w:rPr>
              <w:t>Bebtelovimab</w:t>
            </w:r>
          </w:p>
        </w:tc>
        <w:tc>
          <w:tcPr>
            <w:tcW w:w="1890" w:type="dxa"/>
          </w:tcPr>
          <w:p w14:paraId="1E41C633" w14:textId="77777777" w:rsidR="00D85B42" w:rsidRPr="0043535F" w:rsidRDefault="00D85B42" w:rsidP="00F656A0">
            <w:pPr>
              <w:spacing w:after="0"/>
              <w:jc w:val="center"/>
              <w:rPr>
                <w:rFonts w:ascii="Times New Roman" w:hAnsi="Times New Roman"/>
              </w:rPr>
            </w:pPr>
            <w:r w:rsidRPr="0043535F">
              <w:rPr>
                <w:rFonts w:ascii="Times New Roman" w:hAnsi="Times New Roman"/>
              </w:rPr>
              <w:t>Hepatitis B immune globulin</w:t>
            </w:r>
          </w:p>
        </w:tc>
        <w:tc>
          <w:tcPr>
            <w:tcW w:w="1890" w:type="dxa"/>
          </w:tcPr>
          <w:p w14:paraId="5C5D56C9" w14:textId="77777777" w:rsidR="00D85B42" w:rsidRPr="0043535F" w:rsidRDefault="00D85B42" w:rsidP="00F656A0">
            <w:pPr>
              <w:spacing w:after="0"/>
              <w:jc w:val="center"/>
              <w:rPr>
                <w:rFonts w:ascii="Times New Roman" w:hAnsi="Times New Roman"/>
              </w:rPr>
            </w:pPr>
            <w:r w:rsidRPr="0043535F">
              <w:rPr>
                <w:rFonts w:ascii="Times New Roman" w:hAnsi="Times New Roman"/>
              </w:rPr>
              <w:t>Paliperidone palmitate</w:t>
            </w:r>
          </w:p>
        </w:tc>
      </w:tr>
      <w:tr w:rsidR="00D85B42" w:rsidRPr="0043535F" w14:paraId="7E66B5C3" w14:textId="77777777" w:rsidTr="00D85B42">
        <w:tc>
          <w:tcPr>
            <w:tcW w:w="1350" w:type="dxa"/>
          </w:tcPr>
          <w:p w14:paraId="751AE82A" w14:textId="77777777" w:rsidR="00D85B42" w:rsidRPr="0043535F" w:rsidRDefault="00D85B42" w:rsidP="00F656A0">
            <w:pPr>
              <w:spacing w:after="0"/>
              <w:jc w:val="center"/>
              <w:rPr>
                <w:rFonts w:ascii="Times New Roman" w:hAnsi="Times New Roman"/>
              </w:rPr>
            </w:pPr>
            <w:r w:rsidRPr="0043535F">
              <w:rPr>
                <w:rFonts w:ascii="Times New Roman" w:hAnsi="Times New Roman"/>
              </w:rPr>
              <w:t>Daptomycin</w:t>
            </w:r>
          </w:p>
        </w:tc>
        <w:tc>
          <w:tcPr>
            <w:tcW w:w="1980" w:type="dxa"/>
            <w:vMerge w:val="restart"/>
            <w:shd w:val="clear" w:color="auto" w:fill="FFFFFF" w:themeFill="background1"/>
          </w:tcPr>
          <w:p w14:paraId="24498F0B" w14:textId="77777777" w:rsidR="00D85B42" w:rsidRPr="0043535F" w:rsidRDefault="00D85B42" w:rsidP="00F656A0">
            <w:pPr>
              <w:spacing w:after="0"/>
              <w:jc w:val="center"/>
              <w:rPr>
                <w:rFonts w:ascii="Times New Roman" w:hAnsi="Times New Roman"/>
              </w:rPr>
            </w:pPr>
          </w:p>
        </w:tc>
        <w:tc>
          <w:tcPr>
            <w:tcW w:w="1980" w:type="dxa"/>
            <w:vMerge/>
            <w:shd w:val="clear" w:color="auto" w:fill="FFFFFF" w:themeFill="background1"/>
          </w:tcPr>
          <w:p w14:paraId="35014F2C" w14:textId="77777777" w:rsidR="00D85B42" w:rsidRPr="0043535F" w:rsidRDefault="00D85B42" w:rsidP="00F656A0">
            <w:pPr>
              <w:spacing w:after="0"/>
              <w:jc w:val="center"/>
              <w:rPr>
                <w:rFonts w:ascii="Times New Roman" w:hAnsi="Times New Roman"/>
              </w:rPr>
            </w:pPr>
          </w:p>
        </w:tc>
        <w:tc>
          <w:tcPr>
            <w:tcW w:w="1530" w:type="dxa"/>
          </w:tcPr>
          <w:p w14:paraId="0E470AFA" w14:textId="77777777" w:rsidR="00D85B42" w:rsidRPr="0043535F" w:rsidRDefault="00D85B42" w:rsidP="00F656A0">
            <w:pPr>
              <w:spacing w:after="0"/>
              <w:jc w:val="center"/>
              <w:rPr>
                <w:rFonts w:ascii="Times New Roman" w:hAnsi="Times New Roman"/>
              </w:rPr>
            </w:pPr>
            <w:r w:rsidRPr="0043535F">
              <w:rPr>
                <w:rFonts w:ascii="Times New Roman" w:hAnsi="Times New Roman"/>
              </w:rPr>
              <w:t>Casirivimab/ imdevimab</w:t>
            </w:r>
          </w:p>
        </w:tc>
        <w:tc>
          <w:tcPr>
            <w:tcW w:w="1890" w:type="dxa"/>
            <w:vMerge w:val="restart"/>
            <w:shd w:val="clear" w:color="auto" w:fill="FFFFFF" w:themeFill="background1"/>
          </w:tcPr>
          <w:p w14:paraId="567CD0F1" w14:textId="77777777" w:rsidR="00D85B42" w:rsidRPr="0043535F" w:rsidRDefault="00D85B42" w:rsidP="00F656A0">
            <w:pPr>
              <w:spacing w:after="0"/>
              <w:jc w:val="center"/>
              <w:rPr>
                <w:rFonts w:ascii="Times New Roman" w:hAnsi="Times New Roman"/>
              </w:rPr>
            </w:pPr>
          </w:p>
        </w:tc>
        <w:tc>
          <w:tcPr>
            <w:tcW w:w="1890" w:type="dxa"/>
            <w:vMerge w:val="restart"/>
            <w:shd w:val="clear" w:color="auto" w:fill="FFFFFF" w:themeFill="background1"/>
          </w:tcPr>
          <w:p w14:paraId="0D688944" w14:textId="77777777" w:rsidR="00D85B42" w:rsidRPr="0043535F" w:rsidRDefault="00D85B42" w:rsidP="00F656A0">
            <w:pPr>
              <w:spacing w:after="0"/>
              <w:jc w:val="center"/>
              <w:rPr>
                <w:rFonts w:ascii="Times New Roman" w:hAnsi="Times New Roman"/>
              </w:rPr>
            </w:pPr>
          </w:p>
        </w:tc>
      </w:tr>
      <w:tr w:rsidR="00D85B42" w:rsidRPr="0043535F" w14:paraId="2EA74126" w14:textId="77777777" w:rsidTr="00D85B42">
        <w:tc>
          <w:tcPr>
            <w:tcW w:w="1350" w:type="dxa"/>
          </w:tcPr>
          <w:p w14:paraId="455805A8" w14:textId="77777777" w:rsidR="00D85B42" w:rsidRPr="0043535F" w:rsidRDefault="00D85B42" w:rsidP="00F656A0">
            <w:pPr>
              <w:spacing w:after="0"/>
              <w:jc w:val="center"/>
              <w:rPr>
                <w:rFonts w:ascii="Times New Roman" w:hAnsi="Times New Roman"/>
              </w:rPr>
            </w:pPr>
            <w:r w:rsidRPr="0043535F">
              <w:rPr>
                <w:rFonts w:ascii="Times New Roman" w:hAnsi="Times New Roman"/>
              </w:rPr>
              <w:t>Ertapenem</w:t>
            </w:r>
          </w:p>
        </w:tc>
        <w:tc>
          <w:tcPr>
            <w:tcW w:w="1980" w:type="dxa"/>
            <w:vMerge/>
            <w:shd w:val="clear" w:color="auto" w:fill="FFFFFF" w:themeFill="background1"/>
          </w:tcPr>
          <w:p w14:paraId="5CDDD5C5" w14:textId="77777777" w:rsidR="00D85B42" w:rsidRPr="0043535F" w:rsidRDefault="00D85B42" w:rsidP="00F656A0">
            <w:pPr>
              <w:spacing w:after="0"/>
              <w:jc w:val="center"/>
              <w:rPr>
                <w:rFonts w:ascii="Times New Roman" w:hAnsi="Times New Roman"/>
              </w:rPr>
            </w:pPr>
          </w:p>
        </w:tc>
        <w:tc>
          <w:tcPr>
            <w:tcW w:w="1980" w:type="dxa"/>
            <w:vMerge/>
            <w:shd w:val="clear" w:color="auto" w:fill="FFFFFF" w:themeFill="background1"/>
          </w:tcPr>
          <w:p w14:paraId="455EDB4E" w14:textId="77777777" w:rsidR="00D85B42" w:rsidRPr="0043535F" w:rsidRDefault="00D85B42" w:rsidP="00F656A0">
            <w:pPr>
              <w:spacing w:after="0"/>
              <w:jc w:val="center"/>
              <w:rPr>
                <w:rFonts w:ascii="Times New Roman" w:hAnsi="Times New Roman"/>
              </w:rPr>
            </w:pPr>
          </w:p>
        </w:tc>
        <w:tc>
          <w:tcPr>
            <w:tcW w:w="1530" w:type="dxa"/>
          </w:tcPr>
          <w:p w14:paraId="63101906" w14:textId="77777777" w:rsidR="00D85B42" w:rsidRPr="0043535F" w:rsidRDefault="00D85B42" w:rsidP="00F656A0">
            <w:pPr>
              <w:spacing w:after="0"/>
              <w:jc w:val="center"/>
              <w:rPr>
                <w:rFonts w:ascii="Times New Roman" w:hAnsi="Times New Roman"/>
              </w:rPr>
            </w:pPr>
            <w:r w:rsidRPr="0043535F">
              <w:rPr>
                <w:rFonts w:ascii="Times New Roman" w:hAnsi="Times New Roman"/>
              </w:rPr>
              <w:t>Sotrovimab</w:t>
            </w:r>
          </w:p>
        </w:tc>
        <w:tc>
          <w:tcPr>
            <w:tcW w:w="1890" w:type="dxa"/>
            <w:vMerge/>
            <w:shd w:val="clear" w:color="auto" w:fill="FFFFFF" w:themeFill="background1"/>
          </w:tcPr>
          <w:p w14:paraId="7B9CE546" w14:textId="77777777" w:rsidR="00D85B42" w:rsidRPr="0043535F" w:rsidRDefault="00D85B42" w:rsidP="00F656A0">
            <w:pPr>
              <w:spacing w:after="0"/>
              <w:jc w:val="center"/>
              <w:rPr>
                <w:rFonts w:ascii="Times New Roman" w:hAnsi="Times New Roman"/>
              </w:rPr>
            </w:pPr>
          </w:p>
        </w:tc>
        <w:tc>
          <w:tcPr>
            <w:tcW w:w="1890" w:type="dxa"/>
            <w:vMerge/>
            <w:shd w:val="clear" w:color="auto" w:fill="FFFFFF" w:themeFill="background1"/>
          </w:tcPr>
          <w:p w14:paraId="4D14B66D" w14:textId="77777777" w:rsidR="00D85B42" w:rsidRPr="0043535F" w:rsidRDefault="00D85B42" w:rsidP="00F656A0">
            <w:pPr>
              <w:spacing w:after="0"/>
              <w:jc w:val="center"/>
              <w:rPr>
                <w:rFonts w:ascii="Times New Roman" w:hAnsi="Times New Roman"/>
              </w:rPr>
            </w:pPr>
          </w:p>
        </w:tc>
      </w:tr>
      <w:tr w:rsidR="00D85B42" w:rsidRPr="0043535F" w14:paraId="60845034" w14:textId="77777777" w:rsidTr="00D85B42">
        <w:trPr>
          <w:trHeight w:val="278"/>
        </w:trPr>
        <w:tc>
          <w:tcPr>
            <w:tcW w:w="1350" w:type="dxa"/>
            <w:shd w:val="clear" w:color="auto" w:fill="FFFFFF" w:themeFill="background1"/>
          </w:tcPr>
          <w:p w14:paraId="617B2891" w14:textId="77777777" w:rsidR="00D85B42" w:rsidRPr="0043535F" w:rsidRDefault="00D85B42" w:rsidP="00F656A0">
            <w:pPr>
              <w:spacing w:after="0"/>
              <w:jc w:val="center"/>
              <w:rPr>
                <w:rFonts w:ascii="Times New Roman" w:hAnsi="Times New Roman"/>
              </w:rPr>
            </w:pPr>
          </w:p>
        </w:tc>
        <w:tc>
          <w:tcPr>
            <w:tcW w:w="1980" w:type="dxa"/>
            <w:vMerge/>
            <w:shd w:val="clear" w:color="auto" w:fill="FFFFFF" w:themeFill="background1"/>
          </w:tcPr>
          <w:p w14:paraId="4CD033BE" w14:textId="77777777" w:rsidR="00D85B42" w:rsidRPr="0043535F" w:rsidRDefault="00D85B42" w:rsidP="00F656A0">
            <w:pPr>
              <w:spacing w:after="0"/>
              <w:jc w:val="center"/>
              <w:rPr>
                <w:rFonts w:ascii="Times New Roman" w:hAnsi="Times New Roman"/>
              </w:rPr>
            </w:pPr>
          </w:p>
        </w:tc>
        <w:tc>
          <w:tcPr>
            <w:tcW w:w="1980" w:type="dxa"/>
            <w:vMerge/>
            <w:shd w:val="clear" w:color="auto" w:fill="FFFFFF" w:themeFill="background1"/>
          </w:tcPr>
          <w:p w14:paraId="6A5DDD88" w14:textId="77777777" w:rsidR="00D85B42" w:rsidRPr="0043535F" w:rsidRDefault="00D85B42" w:rsidP="00F656A0">
            <w:pPr>
              <w:spacing w:after="0"/>
              <w:jc w:val="center"/>
              <w:rPr>
                <w:rFonts w:ascii="Times New Roman" w:hAnsi="Times New Roman"/>
              </w:rPr>
            </w:pPr>
          </w:p>
        </w:tc>
        <w:tc>
          <w:tcPr>
            <w:tcW w:w="1530" w:type="dxa"/>
          </w:tcPr>
          <w:p w14:paraId="2E089E9F" w14:textId="77777777" w:rsidR="00D85B42" w:rsidRPr="0043535F" w:rsidRDefault="00D85B42" w:rsidP="00F656A0">
            <w:pPr>
              <w:spacing w:after="0"/>
              <w:jc w:val="center"/>
              <w:rPr>
                <w:rFonts w:ascii="Times New Roman" w:hAnsi="Times New Roman"/>
              </w:rPr>
            </w:pPr>
            <w:r w:rsidRPr="0043535F">
              <w:rPr>
                <w:rFonts w:ascii="Times New Roman" w:hAnsi="Times New Roman"/>
              </w:rPr>
              <w:t>Remdesivir</w:t>
            </w:r>
          </w:p>
        </w:tc>
        <w:tc>
          <w:tcPr>
            <w:tcW w:w="1890" w:type="dxa"/>
            <w:vMerge/>
            <w:shd w:val="clear" w:color="auto" w:fill="FFFFFF" w:themeFill="background1"/>
          </w:tcPr>
          <w:p w14:paraId="1BBA090A" w14:textId="77777777" w:rsidR="00D85B42" w:rsidRPr="0043535F" w:rsidRDefault="00D85B42" w:rsidP="00F656A0">
            <w:pPr>
              <w:spacing w:after="0"/>
              <w:jc w:val="center"/>
              <w:rPr>
                <w:rFonts w:ascii="Times New Roman" w:hAnsi="Times New Roman"/>
              </w:rPr>
            </w:pPr>
          </w:p>
        </w:tc>
        <w:tc>
          <w:tcPr>
            <w:tcW w:w="1890" w:type="dxa"/>
            <w:vMerge/>
            <w:shd w:val="clear" w:color="auto" w:fill="FFFFFF" w:themeFill="background1"/>
          </w:tcPr>
          <w:p w14:paraId="4AF97EDA" w14:textId="77777777" w:rsidR="00D85B42" w:rsidRPr="0043535F" w:rsidRDefault="00D85B42" w:rsidP="00F656A0">
            <w:pPr>
              <w:spacing w:after="0"/>
              <w:jc w:val="center"/>
              <w:rPr>
                <w:rFonts w:ascii="Times New Roman" w:hAnsi="Times New Roman"/>
              </w:rPr>
            </w:pPr>
          </w:p>
        </w:tc>
      </w:tr>
    </w:tbl>
    <w:p w14:paraId="35CF55D6" w14:textId="75124448" w:rsidR="00D85B42" w:rsidRPr="0043535F" w:rsidRDefault="00D85B42" w:rsidP="006228A2">
      <w:pPr>
        <w:pStyle w:val="IOPText"/>
        <w:ind w:firstLine="0"/>
        <w:rPr>
          <w:rFonts w:asciiTheme="minorHAnsi" w:hAnsiTheme="minorHAnsi" w:cstheme="minorHAnsi"/>
          <w:noProof/>
          <w:sz w:val="22"/>
        </w:rPr>
      </w:pPr>
    </w:p>
    <w:p w14:paraId="3E0EA226" w14:textId="6283D393" w:rsidR="0043535F" w:rsidRDefault="0043535F" w:rsidP="006228A2">
      <w:pPr>
        <w:pStyle w:val="IOPText"/>
        <w:ind w:firstLine="0"/>
        <w:rPr>
          <w:noProof/>
          <w:sz w:val="24"/>
          <w:szCs w:val="24"/>
        </w:rPr>
      </w:pPr>
      <w:r>
        <w:rPr>
          <w:noProof/>
          <w:sz w:val="24"/>
          <w:szCs w:val="24"/>
        </w:rPr>
        <w:t>Table 2: Charges for different visit types at Renown infusion center</w:t>
      </w:r>
    </w:p>
    <w:tbl>
      <w:tblPr>
        <w:tblW w:w="9530" w:type="dxa"/>
        <w:tblCellMar>
          <w:left w:w="0" w:type="dxa"/>
          <w:right w:w="0" w:type="dxa"/>
        </w:tblCellMar>
        <w:tblLook w:val="0420" w:firstRow="1" w:lastRow="0" w:firstColumn="0" w:lastColumn="0" w:noHBand="0" w:noVBand="1"/>
      </w:tblPr>
      <w:tblGrid>
        <w:gridCol w:w="4850"/>
        <w:gridCol w:w="4680"/>
      </w:tblGrid>
      <w:tr w:rsidR="0043535F" w:rsidRPr="00D345F5" w14:paraId="69025469" w14:textId="77777777" w:rsidTr="004844C9">
        <w:trPr>
          <w:trHeight w:val="511"/>
        </w:trPr>
        <w:tc>
          <w:tcPr>
            <w:tcW w:w="4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AC5C72A"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b/>
                <w:bCs/>
              </w:rPr>
              <w:t>Visit Type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07664B5"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b/>
                <w:bCs/>
              </w:rPr>
              <w:t>Cost</w:t>
            </w:r>
          </w:p>
        </w:tc>
      </w:tr>
      <w:tr w:rsidR="0043535F" w:rsidRPr="00D345F5" w14:paraId="70400205" w14:textId="77777777" w:rsidTr="004844C9">
        <w:trPr>
          <w:trHeight w:val="484"/>
        </w:trPr>
        <w:tc>
          <w:tcPr>
            <w:tcW w:w="4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96D2620"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rPr>
              <w:t>Infusion Visit</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B5C5545"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rPr>
              <w:t>$1,463</w:t>
            </w:r>
          </w:p>
        </w:tc>
      </w:tr>
      <w:tr w:rsidR="0043535F" w:rsidRPr="00D345F5" w14:paraId="7C7629E2" w14:textId="77777777" w:rsidTr="004844C9">
        <w:trPr>
          <w:trHeight w:val="511"/>
        </w:trPr>
        <w:tc>
          <w:tcPr>
            <w:tcW w:w="4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29A5E5E"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rPr>
              <w:t>IV Hydration Visit</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723335C"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rPr>
              <w:t>$1,463</w:t>
            </w:r>
          </w:p>
        </w:tc>
      </w:tr>
      <w:tr w:rsidR="0043535F" w:rsidRPr="00D345F5" w14:paraId="7E3EB5C3" w14:textId="77777777" w:rsidTr="004844C9">
        <w:trPr>
          <w:trHeight w:val="511"/>
        </w:trPr>
        <w:tc>
          <w:tcPr>
            <w:tcW w:w="4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C31BEA8"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rPr>
              <w:t>Sub-Q/IM Administration Visit</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B6C2119"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rPr>
              <w:t>$443</w:t>
            </w:r>
          </w:p>
        </w:tc>
      </w:tr>
      <w:tr w:rsidR="0043535F" w:rsidRPr="00D345F5" w14:paraId="4DBE8F41" w14:textId="77777777" w:rsidTr="004844C9">
        <w:trPr>
          <w:trHeight w:val="511"/>
        </w:trPr>
        <w:tc>
          <w:tcPr>
            <w:tcW w:w="4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6CFF971"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rPr>
              <w:t>Blood Product Administration Visit</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3A14AC7" w14:textId="77777777" w:rsidR="0043535F" w:rsidRPr="00D345F5" w:rsidRDefault="0043535F" w:rsidP="00F50A04">
            <w:pPr>
              <w:spacing w:after="0" w:line="240" w:lineRule="auto"/>
              <w:jc w:val="center"/>
              <w:rPr>
                <w:rFonts w:ascii="Times New Roman" w:hAnsi="Times New Roman"/>
              </w:rPr>
            </w:pPr>
            <w:r w:rsidRPr="00D345F5">
              <w:rPr>
                <w:rFonts w:ascii="Times New Roman" w:hAnsi="Times New Roman"/>
              </w:rPr>
              <w:t>$2,838</w:t>
            </w:r>
          </w:p>
        </w:tc>
      </w:tr>
    </w:tbl>
    <w:p w14:paraId="17C34F4C" w14:textId="77777777" w:rsidR="0043535F" w:rsidRDefault="0043535F" w:rsidP="006228A2">
      <w:pPr>
        <w:pStyle w:val="IOPText"/>
        <w:ind w:firstLine="0"/>
        <w:rPr>
          <w:noProof/>
          <w:sz w:val="24"/>
          <w:szCs w:val="24"/>
        </w:rPr>
      </w:pPr>
    </w:p>
    <w:p w14:paraId="2E546E8E" w14:textId="77777777" w:rsidR="00F50A04" w:rsidRDefault="00F50A04" w:rsidP="00F656A0">
      <w:pPr>
        <w:spacing w:after="0" w:line="240" w:lineRule="auto"/>
        <w:rPr>
          <w:rFonts w:ascii="Times New Roman" w:hAnsi="Times New Roman"/>
        </w:rPr>
      </w:pPr>
    </w:p>
    <w:p w14:paraId="4DFAED01" w14:textId="77777777" w:rsidR="00F50A04" w:rsidRDefault="00F50A04" w:rsidP="00F656A0">
      <w:pPr>
        <w:spacing w:after="0" w:line="240" w:lineRule="auto"/>
        <w:rPr>
          <w:rFonts w:ascii="Times New Roman" w:hAnsi="Times New Roman"/>
        </w:rPr>
      </w:pPr>
    </w:p>
    <w:p w14:paraId="1C907B1C" w14:textId="78221134" w:rsidR="00F656A0" w:rsidRPr="00F50A04" w:rsidRDefault="00F656A0" w:rsidP="00F656A0">
      <w:pPr>
        <w:spacing w:after="0" w:line="240" w:lineRule="auto"/>
        <w:rPr>
          <w:rFonts w:ascii="Times New Roman" w:hAnsi="Times New Roman"/>
          <w:sz w:val="24"/>
          <w:szCs w:val="24"/>
        </w:rPr>
      </w:pPr>
      <w:r w:rsidRPr="00F50A04">
        <w:rPr>
          <w:rFonts w:ascii="Times New Roman" w:hAnsi="Times New Roman"/>
          <w:sz w:val="24"/>
          <w:szCs w:val="24"/>
        </w:rPr>
        <w:lastRenderedPageBreak/>
        <w:t xml:space="preserve">Table 3: Classifications of medications administered in the ED to a corresponding infusion center visit type. </w:t>
      </w:r>
    </w:p>
    <w:tbl>
      <w:tblPr>
        <w:tblStyle w:val="TableGrid"/>
        <w:tblW w:w="0" w:type="auto"/>
        <w:tblLook w:val="04A0" w:firstRow="1" w:lastRow="0" w:firstColumn="1" w:lastColumn="0" w:noHBand="0" w:noVBand="1"/>
      </w:tblPr>
      <w:tblGrid>
        <w:gridCol w:w="4675"/>
        <w:gridCol w:w="4675"/>
      </w:tblGrid>
      <w:tr w:rsidR="00F656A0" w:rsidRPr="002430CE" w14:paraId="4209BD9A" w14:textId="77777777" w:rsidTr="004844C9">
        <w:tc>
          <w:tcPr>
            <w:tcW w:w="4675" w:type="dxa"/>
          </w:tcPr>
          <w:p w14:paraId="1248DE60" w14:textId="77777777" w:rsidR="00F656A0" w:rsidRPr="00F656A0" w:rsidRDefault="00F656A0" w:rsidP="00F656A0">
            <w:pPr>
              <w:spacing w:after="0" w:line="240" w:lineRule="auto"/>
              <w:jc w:val="center"/>
              <w:rPr>
                <w:rFonts w:ascii="Times New Roman" w:hAnsi="Times New Roman"/>
                <w:b/>
                <w:bCs/>
                <w:sz w:val="24"/>
                <w:szCs w:val="24"/>
              </w:rPr>
            </w:pPr>
            <w:r w:rsidRPr="00F656A0">
              <w:rPr>
                <w:rFonts w:ascii="Times New Roman" w:hAnsi="Times New Roman"/>
                <w:b/>
                <w:bCs/>
                <w:sz w:val="24"/>
                <w:szCs w:val="24"/>
              </w:rPr>
              <w:t>Infusion Visit</w:t>
            </w:r>
          </w:p>
        </w:tc>
        <w:tc>
          <w:tcPr>
            <w:tcW w:w="4675" w:type="dxa"/>
          </w:tcPr>
          <w:p w14:paraId="1087BA7B" w14:textId="77777777" w:rsidR="00F656A0" w:rsidRPr="00F656A0" w:rsidRDefault="00F656A0" w:rsidP="00F656A0">
            <w:pPr>
              <w:spacing w:after="0" w:line="240" w:lineRule="auto"/>
              <w:jc w:val="center"/>
              <w:rPr>
                <w:rFonts w:ascii="Times New Roman" w:hAnsi="Times New Roman"/>
                <w:b/>
                <w:bCs/>
                <w:sz w:val="24"/>
                <w:szCs w:val="24"/>
              </w:rPr>
            </w:pPr>
            <w:r w:rsidRPr="00F656A0">
              <w:rPr>
                <w:rFonts w:ascii="Times New Roman" w:hAnsi="Times New Roman"/>
                <w:b/>
                <w:bCs/>
                <w:sz w:val="24"/>
                <w:szCs w:val="24"/>
              </w:rPr>
              <w:t>Sub-Q/IM Administration Visit</w:t>
            </w:r>
          </w:p>
        </w:tc>
      </w:tr>
      <w:tr w:rsidR="00F656A0" w14:paraId="18942D6C" w14:textId="77777777" w:rsidTr="004844C9">
        <w:tc>
          <w:tcPr>
            <w:tcW w:w="4675" w:type="dxa"/>
          </w:tcPr>
          <w:p w14:paraId="0ABB8A46"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Bebtelovimab</w:t>
            </w:r>
          </w:p>
          <w:p w14:paraId="57B4644A"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Daptomycin</w:t>
            </w:r>
          </w:p>
          <w:p w14:paraId="3E7841F3"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Ertapenem</w:t>
            </w:r>
          </w:p>
        </w:tc>
        <w:tc>
          <w:tcPr>
            <w:tcW w:w="4675" w:type="dxa"/>
          </w:tcPr>
          <w:p w14:paraId="2686E3AA"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Ceftriaxone IM</w:t>
            </w:r>
          </w:p>
          <w:p w14:paraId="1FD8C92D"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Gentamicin IM</w:t>
            </w:r>
          </w:p>
          <w:p w14:paraId="5AAA83B6"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Methotrexate IM</w:t>
            </w:r>
          </w:p>
          <w:p w14:paraId="5A8BB814"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 xml:space="preserve">Paliperidone IM </w:t>
            </w:r>
          </w:p>
          <w:p w14:paraId="3D21C4BD"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 xml:space="preserve">Penicillin G IM </w:t>
            </w:r>
          </w:p>
          <w:p w14:paraId="53854899"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 xml:space="preserve">Rabies Vaccine </w:t>
            </w:r>
          </w:p>
          <w:p w14:paraId="3B3EE96D"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Rabies Immune Globulin</w:t>
            </w:r>
          </w:p>
          <w:p w14:paraId="778DDE40"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Rhophylac®</w:t>
            </w:r>
          </w:p>
        </w:tc>
      </w:tr>
      <w:tr w:rsidR="00F656A0" w14:paraId="642C6D5D" w14:textId="77777777" w:rsidTr="004844C9">
        <w:tc>
          <w:tcPr>
            <w:tcW w:w="4675" w:type="dxa"/>
          </w:tcPr>
          <w:p w14:paraId="079F3891"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Total: n=6 (10%)</w:t>
            </w:r>
          </w:p>
        </w:tc>
        <w:tc>
          <w:tcPr>
            <w:tcW w:w="4675" w:type="dxa"/>
          </w:tcPr>
          <w:p w14:paraId="0249CC3A" w14:textId="77777777" w:rsidR="00F656A0" w:rsidRPr="00F656A0" w:rsidRDefault="00F656A0" w:rsidP="00F656A0">
            <w:pPr>
              <w:spacing w:after="0" w:line="240" w:lineRule="auto"/>
              <w:jc w:val="center"/>
              <w:rPr>
                <w:rFonts w:ascii="Times New Roman" w:hAnsi="Times New Roman"/>
                <w:sz w:val="24"/>
                <w:szCs w:val="24"/>
              </w:rPr>
            </w:pPr>
            <w:r w:rsidRPr="00F656A0">
              <w:rPr>
                <w:rFonts w:ascii="Times New Roman" w:hAnsi="Times New Roman"/>
                <w:sz w:val="24"/>
                <w:szCs w:val="24"/>
              </w:rPr>
              <w:t>Total: n=84 (90%)</w:t>
            </w:r>
          </w:p>
        </w:tc>
      </w:tr>
    </w:tbl>
    <w:p w14:paraId="2A40B7C6" w14:textId="77777777" w:rsidR="00F50A04" w:rsidRDefault="00F50A04" w:rsidP="00F656A0">
      <w:pPr>
        <w:spacing w:after="0" w:line="240" w:lineRule="auto"/>
        <w:rPr>
          <w:rFonts w:ascii="Times New Roman" w:hAnsi="Times New Roman"/>
        </w:rPr>
      </w:pPr>
    </w:p>
    <w:p w14:paraId="2717C2C5" w14:textId="2E63159B" w:rsidR="00F656A0" w:rsidRPr="00F50A04" w:rsidRDefault="00F656A0" w:rsidP="00F656A0">
      <w:pPr>
        <w:spacing w:after="0" w:line="240" w:lineRule="auto"/>
        <w:rPr>
          <w:rFonts w:ascii="Times New Roman" w:hAnsi="Times New Roman"/>
          <w:sz w:val="24"/>
          <w:szCs w:val="24"/>
        </w:rPr>
      </w:pPr>
      <w:r w:rsidRPr="00F50A04">
        <w:rPr>
          <w:rFonts w:ascii="Times New Roman" w:hAnsi="Times New Roman"/>
          <w:sz w:val="24"/>
          <w:szCs w:val="24"/>
        </w:rPr>
        <w:t xml:space="preserve">Table 4: Reasons for ED presentation for administration of studied medications. </w:t>
      </w:r>
    </w:p>
    <w:tbl>
      <w:tblPr>
        <w:tblStyle w:val="TableGrid"/>
        <w:tblW w:w="0" w:type="auto"/>
        <w:tblLook w:val="04A0" w:firstRow="1" w:lastRow="0" w:firstColumn="1" w:lastColumn="0" w:noHBand="0" w:noVBand="1"/>
      </w:tblPr>
      <w:tblGrid>
        <w:gridCol w:w="4675"/>
        <w:gridCol w:w="4675"/>
      </w:tblGrid>
      <w:tr w:rsidR="00F656A0" w:rsidRPr="005F6E94" w14:paraId="1ED7D1C2" w14:textId="77777777" w:rsidTr="004844C9">
        <w:tc>
          <w:tcPr>
            <w:tcW w:w="4675" w:type="dxa"/>
          </w:tcPr>
          <w:p w14:paraId="3D9CEFE9" w14:textId="77777777" w:rsidR="00F656A0" w:rsidRPr="005F6E94" w:rsidRDefault="00F656A0" w:rsidP="00F656A0">
            <w:pPr>
              <w:spacing w:after="0" w:line="240" w:lineRule="auto"/>
              <w:jc w:val="center"/>
              <w:rPr>
                <w:rFonts w:ascii="Times New Roman" w:hAnsi="Times New Roman"/>
                <w:b/>
                <w:bCs/>
              </w:rPr>
            </w:pPr>
            <w:r>
              <w:rPr>
                <w:rFonts w:ascii="Times New Roman" w:hAnsi="Times New Roman"/>
                <w:b/>
                <w:bCs/>
              </w:rPr>
              <w:t>Reason for ED Presentation</w:t>
            </w:r>
          </w:p>
        </w:tc>
        <w:tc>
          <w:tcPr>
            <w:tcW w:w="4675" w:type="dxa"/>
          </w:tcPr>
          <w:p w14:paraId="48AC8E31" w14:textId="77777777" w:rsidR="00F656A0" w:rsidRPr="005F6E94" w:rsidRDefault="00F656A0" w:rsidP="00F656A0">
            <w:pPr>
              <w:spacing w:after="0" w:line="240" w:lineRule="auto"/>
              <w:jc w:val="center"/>
              <w:rPr>
                <w:rFonts w:ascii="Times New Roman" w:hAnsi="Times New Roman"/>
                <w:b/>
                <w:bCs/>
              </w:rPr>
            </w:pPr>
            <w:r>
              <w:rPr>
                <w:rFonts w:ascii="Times New Roman" w:hAnsi="Times New Roman"/>
                <w:b/>
                <w:bCs/>
              </w:rPr>
              <w:t>Frequency (% of total administrations)</w:t>
            </w:r>
          </w:p>
        </w:tc>
      </w:tr>
      <w:tr w:rsidR="00F656A0" w:rsidRPr="005F6E94" w14:paraId="7DC68D2C" w14:textId="77777777" w:rsidTr="004844C9">
        <w:tc>
          <w:tcPr>
            <w:tcW w:w="4675" w:type="dxa"/>
          </w:tcPr>
          <w:p w14:paraId="5896BECA" w14:textId="77777777" w:rsidR="00F656A0" w:rsidRDefault="00F656A0" w:rsidP="00F656A0">
            <w:pPr>
              <w:spacing w:after="0" w:line="240" w:lineRule="auto"/>
              <w:rPr>
                <w:rFonts w:ascii="Times New Roman" w:hAnsi="Times New Roman"/>
              </w:rPr>
            </w:pPr>
            <w:r>
              <w:rPr>
                <w:rFonts w:ascii="Times New Roman" w:hAnsi="Times New Roman"/>
              </w:rPr>
              <w:t>Request for treatment following STI exposure notification</w:t>
            </w:r>
          </w:p>
        </w:tc>
        <w:tc>
          <w:tcPr>
            <w:tcW w:w="4675" w:type="dxa"/>
          </w:tcPr>
          <w:p w14:paraId="2A2237E1" w14:textId="77777777" w:rsidR="00F656A0" w:rsidRPr="005F6E94" w:rsidRDefault="00F656A0" w:rsidP="00F656A0">
            <w:pPr>
              <w:spacing w:after="0" w:line="240" w:lineRule="auto"/>
              <w:jc w:val="center"/>
              <w:rPr>
                <w:rFonts w:ascii="Times New Roman" w:hAnsi="Times New Roman"/>
              </w:rPr>
            </w:pPr>
            <w:r>
              <w:rPr>
                <w:rFonts w:ascii="Times New Roman" w:hAnsi="Times New Roman"/>
              </w:rPr>
              <w:t>62.2%</w:t>
            </w:r>
          </w:p>
        </w:tc>
      </w:tr>
      <w:tr w:rsidR="00F656A0" w14:paraId="5145DBDA" w14:textId="77777777" w:rsidTr="004844C9">
        <w:tc>
          <w:tcPr>
            <w:tcW w:w="4675" w:type="dxa"/>
          </w:tcPr>
          <w:p w14:paraId="4522DA67" w14:textId="77777777" w:rsidR="00F656A0" w:rsidRDefault="00F656A0" w:rsidP="00F656A0">
            <w:pPr>
              <w:spacing w:after="0" w:line="240" w:lineRule="auto"/>
              <w:rPr>
                <w:rFonts w:ascii="Times New Roman" w:hAnsi="Times New Roman"/>
              </w:rPr>
            </w:pPr>
            <w:r>
              <w:rPr>
                <w:rFonts w:ascii="Times New Roman" w:hAnsi="Times New Roman"/>
              </w:rPr>
              <w:t>Ectopic pregnancy initial treatment or follow-up dosing</w:t>
            </w:r>
          </w:p>
        </w:tc>
        <w:tc>
          <w:tcPr>
            <w:tcW w:w="4675" w:type="dxa"/>
          </w:tcPr>
          <w:p w14:paraId="6521805A" w14:textId="77777777" w:rsidR="00F656A0" w:rsidRDefault="00F656A0" w:rsidP="00F656A0">
            <w:pPr>
              <w:spacing w:after="0" w:line="240" w:lineRule="auto"/>
              <w:jc w:val="center"/>
              <w:rPr>
                <w:rFonts w:ascii="Times New Roman" w:hAnsi="Times New Roman"/>
              </w:rPr>
            </w:pPr>
            <w:r>
              <w:rPr>
                <w:rFonts w:ascii="Times New Roman" w:hAnsi="Times New Roman"/>
              </w:rPr>
              <w:t>16.7%</w:t>
            </w:r>
          </w:p>
        </w:tc>
      </w:tr>
      <w:tr w:rsidR="00F656A0" w14:paraId="253AB2AD" w14:textId="77777777" w:rsidTr="004844C9">
        <w:tc>
          <w:tcPr>
            <w:tcW w:w="4675" w:type="dxa"/>
          </w:tcPr>
          <w:p w14:paraId="00102E43" w14:textId="77777777" w:rsidR="00F656A0" w:rsidRDefault="00F656A0" w:rsidP="00F656A0">
            <w:pPr>
              <w:spacing w:after="0" w:line="240" w:lineRule="auto"/>
              <w:rPr>
                <w:rFonts w:ascii="Times New Roman" w:hAnsi="Times New Roman"/>
              </w:rPr>
            </w:pPr>
            <w:r>
              <w:rPr>
                <w:rFonts w:ascii="Times New Roman" w:hAnsi="Times New Roman"/>
              </w:rPr>
              <w:t>Rabies prophylaxis</w:t>
            </w:r>
          </w:p>
        </w:tc>
        <w:tc>
          <w:tcPr>
            <w:tcW w:w="4675" w:type="dxa"/>
          </w:tcPr>
          <w:p w14:paraId="07CB81AE" w14:textId="77777777" w:rsidR="00F656A0" w:rsidRDefault="00F656A0" w:rsidP="00F656A0">
            <w:pPr>
              <w:spacing w:after="0" w:line="240" w:lineRule="auto"/>
              <w:jc w:val="center"/>
              <w:rPr>
                <w:rFonts w:ascii="Times New Roman" w:hAnsi="Times New Roman"/>
              </w:rPr>
            </w:pPr>
            <w:r>
              <w:rPr>
                <w:rFonts w:ascii="Times New Roman" w:hAnsi="Times New Roman"/>
              </w:rPr>
              <w:t>12.2%</w:t>
            </w:r>
          </w:p>
        </w:tc>
      </w:tr>
      <w:tr w:rsidR="00F656A0" w14:paraId="1F82C133" w14:textId="77777777" w:rsidTr="004844C9">
        <w:tc>
          <w:tcPr>
            <w:tcW w:w="4675" w:type="dxa"/>
          </w:tcPr>
          <w:p w14:paraId="57E55C66" w14:textId="77777777" w:rsidR="00F656A0" w:rsidRDefault="00F656A0" w:rsidP="00F656A0">
            <w:pPr>
              <w:spacing w:after="0" w:line="240" w:lineRule="auto"/>
              <w:rPr>
                <w:rFonts w:ascii="Times New Roman" w:hAnsi="Times New Roman"/>
              </w:rPr>
            </w:pPr>
            <w:r>
              <w:rPr>
                <w:rFonts w:ascii="Times New Roman" w:hAnsi="Times New Roman"/>
              </w:rPr>
              <w:t>Infusion center unavailability or unavailability of outpatient follow-up</w:t>
            </w:r>
          </w:p>
        </w:tc>
        <w:tc>
          <w:tcPr>
            <w:tcW w:w="4675" w:type="dxa"/>
          </w:tcPr>
          <w:p w14:paraId="15169C9C" w14:textId="77777777" w:rsidR="00F656A0" w:rsidRDefault="00F656A0" w:rsidP="00F656A0">
            <w:pPr>
              <w:spacing w:after="0" w:line="240" w:lineRule="auto"/>
              <w:jc w:val="center"/>
              <w:rPr>
                <w:rFonts w:ascii="Times New Roman" w:hAnsi="Times New Roman"/>
              </w:rPr>
            </w:pPr>
            <w:r>
              <w:rPr>
                <w:rFonts w:ascii="Times New Roman" w:hAnsi="Times New Roman"/>
              </w:rPr>
              <w:t>5.6%</w:t>
            </w:r>
          </w:p>
        </w:tc>
      </w:tr>
      <w:tr w:rsidR="00F656A0" w14:paraId="6F570F41" w14:textId="77777777" w:rsidTr="004844C9">
        <w:tc>
          <w:tcPr>
            <w:tcW w:w="4675" w:type="dxa"/>
          </w:tcPr>
          <w:p w14:paraId="763A81AA" w14:textId="77777777" w:rsidR="00F656A0" w:rsidRDefault="00F656A0" w:rsidP="00F656A0">
            <w:pPr>
              <w:spacing w:after="0" w:line="240" w:lineRule="auto"/>
              <w:rPr>
                <w:rFonts w:ascii="Times New Roman" w:hAnsi="Times New Roman"/>
              </w:rPr>
            </w:pPr>
            <w:r>
              <w:rPr>
                <w:rFonts w:ascii="Times New Roman" w:hAnsi="Times New Roman"/>
              </w:rPr>
              <w:t>Physician referral to ED for infusion administration</w:t>
            </w:r>
          </w:p>
        </w:tc>
        <w:tc>
          <w:tcPr>
            <w:tcW w:w="4675" w:type="dxa"/>
          </w:tcPr>
          <w:p w14:paraId="3D8D432E" w14:textId="77777777" w:rsidR="00F656A0" w:rsidRDefault="00F656A0" w:rsidP="00F656A0">
            <w:pPr>
              <w:spacing w:after="0" w:line="240" w:lineRule="auto"/>
              <w:jc w:val="center"/>
              <w:rPr>
                <w:rFonts w:ascii="Times New Roman" w:hAnsi="Times New Roman"/>
              </w:rPr>
            </w:pPr>
            <w:r>
              <w:rPr>
                <w:rFonts w:ascii="Times New Roman" w:hAnsi="Times New Roman"/>
              </w:rPr>
              <w:t>3.3%</w:t>
            </w:r>
          </w:p>
        </w:tc>
      </w:tr>
    </w:tbl>
    <w:p w14:paraId="415A4FE2" w14:textId="77777777" w:rsidR="00F50A04" w:rsidRDefault="00F50A04" w:rsidP="00F656A0">
      <w:pPr>
        <w:spacing w:line="480" w:lineRule="auto"/>
        <w:rPr>
          <w:rFonts w:ascii="Times New Roman" w:hAnsi="Times New Roman"/>
        </w:rPr>
      </w:pPr>
    </w:p>
    <w:p w14:paraId="12F066A4" w14:textId="0FD6DFF4" w:rsidR="00F656A0" w:rsidRPr="00F50A04" w:rsidRDefault="00F656A0" w:rsidP="00F50A04">
      <w:pPr>
        <w:spacing w:line="240" w:lineRule="auto"/>
        <w:rPr>
          <w:rFonts w:ascii="Times New Roman" w:hAnsi="Times New Roman"/>
          <w:sz w:val="24"/>
          <w:szCs w:val="24"/>
        </w:rPr>
      </w:pPr>
      <w:r w:rsidRPr="00F50A04">
        <w:rPr>
          <w:rFonts w:ascii="Times New Roman" w:hAnsi="Times New Roman"/>
          <w:sz w:val="24"/>
          <w:szCs w:val="24"/>
        </w:rPr>
        <w:t xml:space="preserve">Figure 2: Breakdown of medication administrations that met inclusion criteria by agent. </w:t>
      </w:r>
    </w:p>
    <w:p w14:paraId="606EBA5D" w14:textId="0050230C" w:rsidR="00F656A0" w:rsidRDefault="00F656A0" w:rsidP="00F50A04">
      <w:pPr>
        <w:pStyle w:val="IOPText"/>
        <w:spacing w:line="240" w:lineRule="auto"/>
        <w:ind w:firstLine="0"/>
        <w:rPr>
          <w:noProof/>
          <w:sz w:val="24"/>
          <w:szCs w:val="24"/>
        </w:rPr>
      </w:pPr>
      <w:r w:rsidRPr="003C36B7">
        <w:rPr>
          <w:noProof/>
        </w:rPr>
        <w:drawing>
          <wp:inline distT="0" distB="0" distL="0" distR="0" wp14:anchorId="1D5D253B" wp14:editId="1969FFCF">
            <wp:extent cx="5943600" cy="3286125"/>
            <wp:effectExtent l="0" t="0" r="0" b="9525"/>
            <wp:docPr id="1743562227" name="Chart 1">
              <a:extLst xmlns:a="http://schemas.openxmlformats.org/drawingml/2006/main">
                <a:ext uri="{FF2B5EF4-FFF2-40B4-BE49-F238E27FC236}">
                  <a16:creationId xmlns:a16="http://schemas.microsoft.com/office/drawing/2014/main" id="{3B95F9A3-0555-ABC0-E534-9164C1E35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75C8E7" w14:textId="77777777" w:rsidR="00F656A0" w:rsidRPr="0043535F" w:rsidRDefault="00F656A0" w:rsidP="00F50A04">
      <w:pPr>
        <w:pStyle w:val="IOPText"/>
        <w:spacing w:line="240" w:lineRule="auto"/>
        <w:ind w:firstLine="0"/>
        <w:rPr>
          <w:noProof/>
          <w:sz w:val="24"/>
          <w:szCs w:val="24"/>
        </w:rPr>
      </w:pPr>
    </w:p>
    <w:sectPr w:rsidR="00F656A0" w:rsidRPr="0043535F" w:rsidSect="0043535F">
      <w:type w:val="continuous"/>
      <w:pgSz w:w="11906" w:h="16838" w:code="9"/>
      <w:pgMar w:top="1800" w:right="1008" w:bottom="1800" w:left="1008" w:header="720" w:footer="720"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6568B" w14:textId="77777777" w:rsidR="00E338C4" w:rsidRDefault="00E338C4" w:rsidP="00927301">
      <w:pPr>
        <w:spacing w:after="0" w:line="240" w:lineRule="auto"/>
      </w:pPr>
      <w:r>
        <w:separator/>
      </w:r>
    </w:p>
  </w:endnote>
  <w:endnote w:type="continuationSeparator" w:id="0">
    <w:p w14:paraId="5684D977" w14:textId="77777777" w:rsidR="00E338C4" w:rsidRDefault="00E338C4"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7B2C" w14:textId="465BBCE5"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92D8B9"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w:t>
    </w:r>
    <w:r w:rsidR="00F50A04">
      <w:rPr>
        <w:rFonts w:ascii="Times New Roman" w:hAnsi="Times New Roman"/>
        <w:sz w:val="20"/>
        <w:szCs w:val="16"/>
      </w:rPr>
      <w:t>rs July 2, 2024</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5B592F">
      <w:rPr>
        <w:rFonts w:ascii="Times New Roman" w:hAnsi="Times New Roman"/>
        <w:noProof/>
        <w:sz w:val="20"/>
        <w:szCs w:val="16"/>
      </w:rPr>
      <w:t>1</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FABC" w14:textId="764EB3F3"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9602A7" w:rsidRPr="009602A7">
      <w:rPr>
        <w:rFonts w:ascii="Times New Roman" w:hAnsi="Times New Roman"/>
        <w:sz w:val="20"/>
        <w:szCs w:val="16"/>
      </w:rPr>
      <w:t xml:space="preserve"> Article Submitted to the</w:t>
    </w:r>
    <w:r w:rsidR="00717D41" w:rsidRPr="009602A7">
      <w:rPr>
        <w:rFonts w:ascii="Times New Roman" w:hAnsi="Times New Roman"/>
        <w:sz w:val="20"/>
        <w:szCs w:val="16"/>
      </w:rPr>
      <w:t xml:space="preserve"> Board of Directors</w:t>
    </w:r>
    <w:r w:rsidR="00F50A04">
      <w:rPr>
        <w:rFonts w:ascii="Times New Roman" w:hAnsi="Times New Roman"/>
        <w:sz w:val="20"/>
        <w:szCs w:val="16"/>
      </w:rPr>
      <w:t xml:space="preserve"> July 2, 2024</w:t>
    </w:r>
    <w:r w:rsidR="00717D41" w:rsidRPr="009602A7">
      <w:rPr>
        <w:rFonts w:ascii="Times New Roman" w:hAnsi="Times New Roman"/>
        <w:sz w:val="20"/>
        <w:szCs w:val="16"/>
      </w:rPr>
      <w:ptab w:relativeTo="margin" w:alignment="right" w:leader="none"/>
    </w:r>
    <w:r w:rsidR="00717D41" w:rsidRPr="009602A7">
      <w:rPr>
        <w:rFonts w:ascii="Times New Roman" w:hAnsi="Times New Roman"/>
        <w:sz w:val="20"/>
        <w:szCs w:val="16"/>
      </w:rPr>
      <w:fldChar w:fldCharType="begin"/>
    </w:r>
    <w:r w:rsidR="00717D41" w:rsidRPr="009602A7">
      <w:rPr>
        <w:rFonts w:ascii="Times New Roman" w:hAnsi="Times New Roman"/>
        <w:sz w:val="20"/>
        <w:szCs w:val="16"/>
      </w:rPr>
      <w:instrText xml:space="preserve"> PAGE   \* MERGEFORMAT </w:instrText>
    </w:r>
    <w:r w:rsidR="00717D41" w:rsidRPr="009602A7">
      <w:rPr>
        <w:rFonts w:ascii="Times New Roman" w:hAnsi="Times New Roman"/>
        <w:sz w:val="20"/>
        <w:szCs w:val="16"/>
      </w:rPr>
      <w:fldChar w:fldCharType="separate"/>
    </w:r>
    <w:r w:rsidR="005B592F">
      <w:rPr>
        <w:rFonts w:ascii="Times New Roman" w:hAnsi="Times New Roman"/>
        <w:noProof/>
        <w:sz w:val="20"/>
        <w:szCs w:val="16"/>
      </w:rPr>
      <w:t>2</w:t>
    </w:r>
    <w:r w:rsidR="00717D41"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77C8" w14:textId="77777777" w:rsidR="00E338C4" w:rsidRDefault="00E338C4" w:rsidP="00927301">
      <w:pPr>
        <w:spacing w:after="0" w:line="240" w:lineRule="auto"/>
      </w:pPr>
      <w:r>
        <w:separator/>
      </w:r>
    </w:p>
  </w:footnote>
  <w:footnote w:type="continuationSeparator" w:id="0">
    <w:p w14:paraId="351D9C4F" w14:textId="77777777" w:rsidR="00E338C4" w:rsidRDefault="00E338C4"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62CA" w14:textId="308EEDCD" w:rsidR="00F14221" w:rsidRPr="009602A7" w:rsidRDefault="009602A7" w:rsidP="001035D9">
    <w:pPr>
      <w:pStyle w:val="IOPHeader"/>
      <w:tabs>
        <w:tab w:val="clear" w:pos="4513"/>
        <w:tab w:val="clear" w:pos="9026"/>
        <w:tab w:val="right" w:pos="10092"/>
      </w:tabs>
      <w:rPr>
        <w:rFonts w:ascii="Times New Roman" w:hAnsi="Times New Roman"/>
        <w:b/>
      </w:rPr>
    </w:pPr>
    <w:r>
      <w:rPr>
        <w:noProof/>
        <w:lang w:val="en-US"/>
      </w:rPr>
      <w:drawing>
        <wp:inline distT="0" distB="0" distL="0" distR="0" wp14:anchorId="47B39609" wp14:editId="4F8FB48E">
          <wp:extent cx="1022350" cy="454378"/>
          <wp:effectExtent l="0" t="0" r="6350" b="3175"/>
          <wp:docPr id="5" name="Picture 5"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6E48E0">
      <w:rPr>
        <w:rFonts w:ascii="Times New Roman" w:hAnsi="Times New Roman"/>
        <w:b/>
      </w:rPr>
      <w:t>Necessity of ED-Based Outpatient Infusion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A674" w14:textId="75283A1C" w:rsidR="009536C0" w:rsidRPr="009602A7" w:rsidRDefault="00F14221" w:rsidP="003E4E2B">
    <w:pPr>
      <w:pStyle w:val="IOPHeader"/>
      <w:tabs>
        <w:tab w:val="clear" w:pos="4513"/>
        <w:tab w:val="clear" w:pos="9026"/>
        <w:tab w:val="right" w:pos="10092"/>
      </w:tabs>
    </w:pPr>
    <w:r>
      <w:rPr>
        <w:noProof/>
        <w:lang w:val="en-US"/>
      </w:rPr>
      <w:drawing>
        <wp:inline distT="0" distB="0" distL="0" distR="0" wp14:anchorId="64ACE1AB" wp14:editId="439E6BE6">
          <wp:extent cx="1022350" cy="454378"/>
          <wp:effectExtent l="0" t="0" r="6350" b="3175"/>
          <wp:docPr id="449" name="Picture 449"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F50A04">
      <w:rPr>
        <w:rFonts w:ascii="Times New Roman" w:hAnsi="Times New Roman"/>
        <w:b/>
      </w:rPr>
      <w:t>Necessity of ED-Based Outpatient Infusion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619361">
    <w:abstractNumId w:val="1"/>
  </w:num>
  <w:num w:numId="2" w16cid:durableId="49604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1843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1"/>
    <w:rsid w:val="00007341"/>
    <w:rsid w:val="00007E3B"/>
    <w:rsid w:val="0002244D"/>
    <w:rsid w:val="00025E5E"/>
    <w:rsid w:val="000301B2"/>
    <w:rsid w:val="000422B3"/>
    <w:rsid w:val="00046A7C"/>
    <w:rsid w:val="00050A4A"/>
    <w:rsid w:val="000671C4"/>
    <w:rsid w:val="00073620"/>
    <w:rsid w:val="00082E12"/>
    <w:rsid w:val="00090614"/>
    <w:rsid w:val="0009383A"/>
    <w:rsid w:val="00093BF1"/>
    <w:rsid w:val="0009752F"/>
    <w:rsid w:val="000A206D"/>
    <w:rsid w:val="000A2FA7"/>
    <w:rsid w:val="000A33FC"/>
    <w:rsid w:val="000A4A2B"/>
    <w:rsid w:val="000A7723"/>
    <w:rsid w:val="000B0BA2"/>
    <w:rsid w:val="000B2B7E"/>
    <w:rsid w:val="000C05AB"/>
    <w:rsid w:val="000C6AD1"/>
    <w:rsid w:val="000C7B29"/>
    <w:rsid w:val="000E1913"/>
    <w:rsid w:val="000E312E"/>
    <w:rsid w:val="000F6B43"/>
    <w:rsid w:val="00101039"/>
    <w:rsid w:val="001035D9"/>
    <w:rsid w:val="00103FD8"/>
    <w:rsid w:val="00105DF1"/>
    <w:rsid w:val="00107B96"/>
    <w:rsid w:val="001103AB"/>
    <w:rsid w:val="0011288D"/>
    <w:rsid w:val="00115C2D"/>
    <w:rsid w:val="001166C4"/>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46C4"/>
    <w:rsid w:val="001943DF"/>
    <w:rsid w:val="001B0173"/>
    <w:rsid w:val="001B341B"/>
    <w:rsid w:val="001B5DE1"/>
    <w:rsid w:val="001B7EA0"/>
    <w:rsid w:val="001C11A5"/>
    <w:rsid w:val="001C3186"/>
    <w:rsid w:val="001C4341"/>
    <w:rsid w:val="001D65AA"/>
    <w:rsid w:val="001E495D"/>
    <w:rsid w:val="00207972"/>
    <w:rsid w:val="002149D1"/>
    <w:rsid w:val="00217F82"/>
    <w:rsid w:val="00220466"/>
    <w:rsid w:val="00225F31"/>
    <w:rsid w:val="00227C2A"/>
    <w:rsid w:val="002301B3"/>
    <w:rsid w:val="002311A0"/>
    <w:rsid w:val="00244C14"/>
    <w:rsid w:val="002534A8"/>
    <w:rsid w:val="002643A3"/>
    <w:rsid w:val="002662EB"/>
    <w:rsid w:val="00275970"/>
    <w:rsid w:val="00286C55"/>
    <w:rsid w:val="00290D79"/>
    <w:rsid w:val="00293AEC"/>
    <w:rsid w:val="002A392B"/>
    <w:rsid w:val="002A7BED"/>
    <w:rsid w:val="002A7F6D"/>
    <w:rsid w:val="002B138B"/>
    <w:rsid w:val="002B23F2"/>
    <w:rsid w:val="002B7773"/>
    <w:rsid w:val="002C56FD"/>
    <w:rsid w:val="002D7C37"/>
    <w:rsid w:val="002F2E62"/>
    <w:rsid w:val="002F4305"/>
    <w:rsid w:val="00305A78"/>
    <w:rsid w:val="003103F6"/>
    <w:rsid w:val="003149A2"/>
    <w:rsid w:val="00322803"/>
    <w:rsid w:val="00337E77"/>
    <w:rsid w:val="00365FC2"/>
    <w:rsid w:val="00370371"/>
    <w:rsid w:val="00370C12"/>
    <w:rsid w:val="003723F1"/>
    <w:rsid w:val="00376443"/>
    <w:rsid w:val="0038439F"/>
    <w:rsid w:val="00396087"/>
    <w:rsid w:val="003A122B"/>
    <w:rsid w:val="003A5833"/>
    <w:rsid w:val="003A6A51"/>
    <w:rsid w:val="003D4B9A"/>
    <w:rsid w:val="003E0A33"/>
    <w:rsid w:val="003E4E2B"/>
    <w:rsid w:val="003E5B4D"/>
    <w:rsid w:val="003E5BD6"/>
    <w:rsid w:val="003E6FD7"/>
    <w:rsid w:val="003F00B3"/>
    <w:rsid w:val="003F6913"/>
    <w:rsid w:val="003F72DD"/>
    <w:rsid w:val="0041330F"/>
    <w:rsid w:val="00414FA4"/>
    <w:rsid w:val="00415902"/>
    <w:rsid w:val="0043171A"/>
    <w:rsid w:val="0043535F"/>
    <w:rsid w:val="0043733A"/>
    <w:rsid w:val="0044346F"/>
    <w:rsid w:val="004459BF"/>
    <w:rsid w:val="00446EAC"/>
    <w:rsid w:val="00447A08"/>
    <w:rsid w:val="004525B1"/>
    <w:rsid w:val="004547A7"/>
    <w:rsid w:val="00462356"/>
    <w:rsid w:val="00475C93"/>
    <w:rsid w:val="00485107"/>
    <w:rsid w:val="004A0458"/>
    <w:rsid w:val="004A0BE2"/>
    <w:rsid w:val="004A3755"/>
    <w:rsid w:val="004A47B2"/>
    <w:rsid w:val="004A75B0"/>
    <w:rsid w:val="004A7D01"/>
    <w:rsid w:val="004B0DD9"/>
    <w:rsid w:val="004B622E"/>
    <w:rsid w:val="004B76CF"/>
    <w:rsid w:val="004C2512"/>
    <w:rsid w:val="004C27A7"/>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F1C46"/>
    <w:rsid w:val="004F2D8B"/>
    <w:rsid w:val="004F6AEE"/>
    <w:rsid w:val="0050125F"/>
    <w:rsid w:val="005223F4"/>
    <w:rsid w:val="005315B5"/>
    <w:rsid w:val="0053269E"/>
    <w:rsid w:val="005407B1"/>
    <w:rsid w:val="00543282"/>
    <w:rsid w:val="0055274C"/>
    <w:rsid w:val="00563B64"/>
    <w:rsid w:val="00570281"/>
    <w:rsid w:val="005764A0"/>
    <w:rsid w:val="00584ECB"/>
    <w:rsid w:val="00590F56"/>
    <w:rsid w:val="00591759"/>
    <w:rsid w:val="00597F4E"/>
    <w:rsid w:val="005B592F"/>
    <w:rsid w:val="005B5D1B"/>
    <w:rsid w:val="005C6C2E"/>
    <w:rsid w:val="005C7D3E"/>
    <w:rsid w:val="005D5D55"/>
    <w:rsid w:val="005D7E8B"/>
    <w:rsid w:val="005F0DEF"/>
    <w:rsid w:val="005F1A3D"/>
    <w:rsid w:val="00611042"/>
    <w:rsid w:val="0061238A"/>
    <w:rsid w:val="00614AF0"/>
    <w:rsid w:val="00621C32"/>
    <w:rsid w:val="006228A2"/>
    <w:rsid w:val="0062386E"/>
    <w:rsid w:val="00623EED"/>
    <w:rsid w:val="006273A3"/>
    <w:rsid w:val="006340A3"/>
    <w:rsid w:val="006368BF"/>
    <w:rsid w:val="00636BC0"/>
    <w:rsid w:val="00646B07"/>
    <w:rsid w:val="00650F83"/>
    <w:rsid w:val="006524DB"/>
    <w:rsid w:val="00653D32"/>
    <w:rsid w:val="00654D1E"/>
    <w:rsid w:val="00667054"/>
    <w:rsid w:val="00667927"/>
    <w:rsid w:val="00685276"/>
    <w:rsid w:val="006902C7"/>
    <w:rsid w:val="006944C4"/>
    <w:rsid w:val="00697503"/>
    <w:rsid w:val="006A121C"/>
    <w:rsid w:val="006A476B"/>
    <w:rsid w:val="006B0A1E"/>
    <w:rsid w:val="006C4BB5"/>
    <w:rsid w:val="006C690A"/>
    <w:rsid w:val="006E48E0"/>
    <w:rsid w:val="007003FD"/>
    <w:rsid w:val="00705E22"/>
    <w:rsid w:val="0070618E"/>
    <w:rsid w:val="00711678"/>
    <w:rsid w:val="00712762"/>
    <w:rsid w:val="00713247"/>
    <w:rsid w:val="00717D41"/>
    <w:rsid w:val="00723E65"/>
    <w:rsid w:val="007245F9"/>
    <w:rsid w:val="00725D44"/>
    <w:rsid w:val="007313EA"/>
    <w:rsid w:val="0073435F"/>
    <w:rsid w:val="0073742E"/>
    <w:rsid w:val="00742719"/>
    <w:rsid w:val="00763639"/>
    <w:rsid w:val="007722DD"/>
    <w:rsid w:val="007803C3"/>
    <w:rsid w:val="00783F45"/>
    <w:rsid w:val="00796243"/>
    <w:rsid w:val="007A008C"/>
    <w:rsid w:val="007B7182"/>
    <w:rsid w:val="007C26D0"/>
    <w:rsid w:val="007C5244"/>
    <w:rsid w:val="007D2937"/>
    <w:rsid w:val="007E5F4B"/>
    <w:rsid w:val="007F17C3"/>
    <w:rsid w:val="007F769E"/>
    <w:rsid w:val="00807EC3"/>
    <w:rsid w:val="0081055A"/>
    <w:rsid w:val="00811A46"/>
    <w:rsid w:val="008158B4"/>
    <w:rsid w:val="00824DD1"/>
    <w:rsid w:val="00835EA7"/>
    <w:rsid w:val="00837792"/>
    <w:rsid w:val="00841388"/>
    <w:rsid w:val="00843DE0"/>
    <w:rsid w:val="008537CA"/>
    <w:rsid w:val="00865D66"/>
    <w:rsid w:val="008700AA"/>
    <w:rsid w:val="00872C7A"/>
    <w:rsid w:val="00873D13"/>
    <w:rsid w:val="0087550C"/>
    <w:rsid w:val="00875FB3"/>
    <w:rsid w:val="00877196"/>
    <w:rsid w:val="00877314"/>
    <w:rsid w:val="00882AE6"/>
    <w:rsid w:val="00882D44"/>
    <w:rsid w:val="00882DD5"/>
    <w:rsid w:val="00894AF3"/>
    <w:rsid w:val="008A35E2"/>
    <w:rsid w:val="008A519B"/>
    <w:rsid w:val="008B6172"/>
    <w:rsid w:val="008C0C83"/>
    <w:rsid w:val="008C1791"/>
    <w:rsid w:val="008C7E57"/>
    <w:rsid w:val="008D59E9"/>
    <w:rsid w:val="008E71E6"/>
    <w:rsid w:val="008F14E7"/>
    <w:rsid w:val="008F73E0"/>
    <w:rsid w:val="00903A7E"/>
    <w:rsid w:val="00912DF6"/>
    <w:rsid w:val="009136FD"/>
    <w:rsid w:val="00913755"/>
    <w:rsid w:val="0091472D"/>
    <w:rsid w:val="009148F9"/>
    <w:rsid w:val="00927301"/>
    <w:rsid w:val="009536C0"/>
    <w:rsid w:val="009602A7"/>
    <w:rsid w:val="00970DC9"/>
    <w:rsid w:val="00976E31"/>
    <w:rsid w:val="00982368"/>
    <w:rsid w:val="00985703"/>
    <w:rsid w:val="009936AC"/>
    <w:rsid w:val="009A6A7A"/>
    <w:rsid w:val="009B309E"/>
    <w:rsid w:val="009C05C9"/>
    <w:rsid w:val="009C3BBE"/>
    <w:rsid w:val="009C7252"/>
    <w:rsid w:val="009E37C6"/>
    <w:rsid w:val="009F4EFA"/>
    <w:rsid w:val="00A028A2"/>
    <w:rsid w:val="00A1575C"/>
    <w:rsid w:val="00A21CD3"/>
    <w:rsid w:val="00A220AD"/>
    <w:rsid w:val="00A2380F"/>
    <w:rsid w:val="00A305E3"/>
    <w:rsid w:val="00A378CA"/>
    <w:rsid w:val="00A40AFB"/>
    <w:rsid w:val="00A46243"/>
    <w:rsid w:val="00A51F72"/>
    <w:rsid w:val="00A65F30"/>
    <w:rsid w:val="00A829F5"/>
    <w:rsid w:val="00A83CB1"/>
    <w:rsid w:val="00A975EF"/>
    <w:rsid w:val="00AB2691"/>
    <w:rsid w:val="00AB270E"/>
    <w:rsid w:val="00AB5611"/>
    <w:rsid w:val="00AC40A3"/>
    <w:rsid w:val="00AC438C"/>
    <w:rsid w:val="00AC6102"/>
    <w:rsid w:val="00AD1AE6"/>
    <w:rsid w:val="00AD2E45"/>
    <w:rsid w:val="00AE19BD"/>
    <w:rsid w:val="00AF30AD"/>
    <w:rsid w:val="00AF6938"/>
    <w:rsid w:val="00B13C07"/>
    <w:rsid w:val="00B1410B"/>
    <w:rsid w:val="00B15CD1"/>
    <w:rsid w:val="00B17219"/>
    <w:rsid w:val="00B17B0D"/>
    <w:rsid w:val="00B17F38"/>
    <w:rsid w:val="00B22956"/>
    <w:rsid w:val="00B26157"/>
    <w:rsid w:val="00B31D49"/>
    <w:rsid w:val="00B31D60"/>
    <w:rsid w:val="00B35DEC"/>
    <w:rsid w:val="00B374D2"/>
    <w:rsid w:val="00B40ED1"/>
    <w:rsid w:val="00B43101"/>
    <w:rsid w:val="00B52530"/>
    <w:rsid w:val="00B531C4"/>
    <w:rsid w:val="00B5338A"/>
    <w:rsid w:val="00B55436"/>
    <w:rsid w:val="00B5642E"/>
    <w:rsid w:val="00B5697B"/>
    <w:rsid w:val="00B57590"/>
    <w:rsid w:val="00B64B1B"/>
    <w:rsid w:val="00B64F35"/>
    <w:rsid w:val="00B7211F"/>
    <w:rsid w:val="00B7586C"/>
    <w:rsid w:val="00B77F4F"/>
    <w:rsid w:val="00B86263"/>
    <w:rsid w:val="00B87206"/>
    <w:rsid w:val="00B87DAD"/>
    <w:rsid w:val="00B92EC3"/>
    <w:rsid w:val="00B94406"/>
    <w:rsid w:val="00B9566D"/>
    <w:rsid w:val="00BA1428"/>
    <w:rsid w:val="00BB4222"/>
    <w:rsid w:val="00BB70C8"/>
    <w:rsid w:val="00BC0810"/>
    <w:rsid w:val="00BC40AA"/>
    <w:rsid w:val="00BC7C43"/>
    <w:rsid w:val="00BD33C6"/>
    <w:rsid w:val="00BD64E8"/>
    <w:rsid w:val="00BE3E91"/>
    <w:rsid w:val="00BE3EE6"/>
    <w:rsid w:val="00BE6B31"/>
    <w:rsid w:val="00BF1D6A"/>
    <w:rsid w:val="00BF3D98"/>
    <w:rsid w:val="00C01479"/>
    <w:rsid w:val="00C0342F"/>
    <w:rsid w:val="00C0528A"/>
    <w:rsid w:val="00C31D2F"/>
    <w:rsid w:val="00C36664"/>
    <w:rsid w:val="00C42265"/>
    <w:rsid w:val="00C45890"/>
    <w:rsid w:val="00C5292C"/>
    <w:rsid w:val="00C53A51"/>
    <w:rsid w:val="00C55A9C"/>
    <w:rsid w:val="00C664C9"/>
    <w:rsid w:val="00C70758"/>
    <w:rsid w:val="00C80F8A"/>
    <w:rsid w:val="00C91F55"/>
    <w:rsid w:val="00CA14FF"/>
    <w:rsid w:val="00CB16EB"/>
    <w:rsid w:val="00CB2639"/>
    <w:rsid w:val="00CB3FB7"/>
    <w:rsid w:val="00CB4F73"/>
    <w:rsid w:val="00CB71A1"/>
    <w:rsid w:val="00CD514B"/>
    <w:rsid w:val="00CE3EE5"/>
    <w:rsid w:val="00D00208"/>
    <w:rsid w:val="00D05794"/>
    <w:rsid w:val="00D05952"/>
    <w:rsid w:val="00D12D8A"/>
    <w:rsid w:val="00D13DD2"/>
    <w:rsid w:val="00D1479D"/>
    <w:rsid w:val="00D304D8"/>
    <w:rsid w:val="00D4198B"/>
    <w:rsid w:val="00D43152"/>
    <w:rsid w:val="00D52D9F"/>
    <w:rsid w:val="00D60139"/>
    <w:rsid w:val="00D61969"/>
    <w:rsid w:val="00D719B6"/>
    <w:rsid w:val="00D724FB"/>
    <w:rsid w:val="00D74B07"/>
    <w:rsid w:val="00D833AB"/>
    <w:rsid w:val="00D8382F"/>
    <w:rsid w:val="00D84AD9"/>
    <w:rsid w:val="00D85B42"/>
    <w:rsid w:val="00DA79E1"/>
    <w:rsid w:val="00DB2B5E"/>
    <w:rsid w:val="00DC2E98"/>
    <w:rsid w:val="00DC6657"/>
    <w:rsid w:val="00DD3631"/>
    <w:rsid w:val="00DE6A28"/>
    <w:rsid w:val="00DF1844"/>
    <w:rsid w:val="00E00596"/>
    <w:rsid w:val="00E00C1F"/>
    <w:rsid w:val="00E20803"/>
    <w:rsid w:val="00E249FB"/>
    <w:rsid w:val="00E3110B"/>
    <w:rsid w:val="00E338C4"/>
    <w:rsid w:val="00E36288"/>
    <w:rsid w:val="00E37EAC"/>
    <w:rsid w:val="00E4080E"/>
    <w:rsid w:val="00E4440D"/>
    <w:rsid w:val="00E5050F"/>
    <w:rsid w:val="00E546E9"/>
    <w:rsid w:val="00E5756C"/>
    <w:rsid w:val="00E61F68"/>
    <w:rsid w:val="00E620CF"/>
    <w:rsid w:val="00E62B33"/>
    <w:rsid w:val="00E649E6"/>
    <w:rsid w:val="00E76198"/>
    <w:rsid w:val="00E77521"/>
    <w:rsid w:val="00E80B21"/>
    <w:rsid w:val="00E82680"/>
    <w:rsid w:val="00E854B7"/>
    <w:rsid w:val="00E86050"/>
    <w:rsid w:val="00E959E7"/>
    <w:rsid w:val="00EB1EF6"/>
    <w:rsid w:val="00EB3F7F"/>
    <w:rsid w:val="00EC0179"/>
    <w:rsid w:val="00EC2796"/>
    <w:rsid w:val="00ED78F9"/>
    <w:rsid w:val="00EE040D"/>
    <w:rsid w:val="00EE7B24"/>
    <w:rsid w:val="00EF41B5"/>
    <w:rsid w:val="00EF575A"/>
    <w:rsid w:val="00F14221"/>
    <w:rsid w:val="00F254DE"/>
    <w:rsid w:val="00F3175C"/>
    <w:rsid w:val="00F32AB5"/>
    <w:rsid w:val="00F360F7"/>
    <w:rsid w:val="00F50A04"/>
    <w:rsid w:val="00F56415"/>
    <w:rsid w:val="00F649AA"/>
    <w:rsid w:val="00F656A0"/>
    <w:rsid w:val="00F65EB8"/>
    <w:rsid w:val="00F714B6"/>
    <w:rsid w:val="00F74254"/>
    <w:rsid w:val="00F90A49"/>
    <w:rsid w:val="00FA1306"/>
    <w:rsid w:val="00FB2367"/>
    <w:rsid w:val="00FB60EA"/>
    <w:rsid w:val="00FC00C5"/>
    <w:rsid w:val="00FD4DD8"/>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white"/>
    </o:shapedefaults>
    <o:shapelayout v:ext="edit">
      <o:idmap v:ext="edit" data="1"/>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E6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semiHidden/>
    <w:unhideWhenUsed/>
    <w:rsid w:val="000E312E"/>
    <w:rPr>
      <w:sz w:val="20"/>
      <w:szCs w:val="20"/>
    </w:rPr>
  </w:style>
  <w:style w:type="character" w:customStyle="1" w:styleId="CommentTextChar">
    <w:name w:val="Comment Text Char"/>
    <w:basedOn w:val="DefaultParagraphFont"/>
    <w:link w:val="CommentText"/>
    <w:uiPriority w:val="99"/>
    <w:semiHidden/>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994398597055511"/>
          <c:y val="0.14947149129883686"/>
          <c:w val="0.38011194343404731"/>
          <c:h val="0.67416922634731258"/>
        </c:manualLayout>
      </c:layout>
      <c:pieChart>
        <c:varyColors val="1"/>
        <c:ser>
          <c:idx val="0"/>
          <c:order val="0"/>
          <c:tx>
            <c:strRef>
              <c:f>Sheet1!$B$1</c:f>
              <c:strCache>
                <c:ptCount val="1"/>
                <c:pt idx="0">
                  <c:v># of Administrations</c:v>
                </c:pt>
              </c:strCache>
            </c:strRef>
          </c:tx>
          <c:explosion val="1"/>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927-44E8-B4A8-0C01C81DEE0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927-44E8-B4A8-0C01C81DEE0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927-44E8-B4A8-0C01C81DEE0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927-44E8-B4A8-0C01C81DEE0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927-44E8-B4A8-0C01C81DEE0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927-44E8-B4A8-0C01C81DEE0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9927-44E8-B4A8-0C01C81DEE01}"/>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9927-44E8-B4A8-0C01C81DEE01}"/>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9927-44E8-B4A8-0C01C81DEE01}"/>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9927-44E8-B4A8-0C01C81DEE01}"/>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9927-44E8-B4A8-0C01C81DEE01}"/>
              </c:ext>
            </c:extLst>
          </c:dPt>
          <c:dLbls>
            <c:dLbl>
              <c:idx val="0"/>
              <c:layout>
                <c:manualLayout>
                  <c:x val="0.23586950669627835"/>
                  <c:y val="1.2017846311889725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dirty="0" err="1">
                        <a:latin typeface="Times New Roman" panose="02020603050405020304" pitchFamily="18" charset="0"/>
                        <a:cs typeface="Times New Roman" panose="02020603050405020304" pitchFamily="18" charset="0"/>
                      </a:rPr>
                      <a:t>Bebtelivomab</a:t>
                    </a:r>
                    <a:r>
                      <a:rPr lang="en-US" sz="1200" baseline="0" dirty="0">
                        <a:latin typeface="Times New Roman" panose="02020603050405020304" pitchFamily="18" charset="0"/>
                        <a:cs typeface="Times New Roman" panose="02020603050405020304" pitchFamily="18" charset="0"/>
                      </a:rPr>
                      <a:t>
</a:t>
                    </a:r>
                    <a:fld id="{2517BB19-F020-47A5-BC97-60D5F0D9B8A7}" type="PERCENTAGE">
                      <a:rPr lang="en-US" sz="1200" baseline="0">
                        <a:latin typeface="Times New Roman" panose="02020603050405020304" pitchFamily="18" charset="0"/>
                        <a:cs typeface="Times New Roman" panose="02020603050405020304" pitchFamily="18" charset="0"/>
                      </a:rPr>
                      <a:pPr>
                        <a:defRPr sz="1200">
                          <a:latin typeface="Times New Roman" panose="02020603050405020304" pitchFamily="18" charset="0"/>
                          <a:cs typeface="Times New Roman" panose="02020603050405020304" pitchFamily="18" charset="0"/>
                        </a:defRPr>
                      </a:pPr>
                      <a:t>[PERCENTAGE]</a:t>
                    </a:fld>
                    <a:endParaRPr lang="en-US" sz="1200" baseline="0" dirty="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927-44E8-B4A8-0C01C81DEE01}"/>
                </c:ext>
              </c:extLst>
            </c:dLbl>
            <c:dLbl>
              <c:idx val="1"/>
              <c:layout>
                <c:manualLayout>
                  <c:x val="7.4156749410862852E-2"/>
                  <c:y val="-2.4780060081514541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dirty="0">
                        <a:solidFill>
                          <a:schemeClr val="accent2"/>
                        </a:solidFill>
                        <a:latin typeface="Times New Roman" panose="02020603050405020304" pitchFamily="18" charset="0"/>
                        <a:cs typeface="Times New Roman" panose="02020603050405020304" pitchFamily="18" charset="0"/>
                      </a:rPr>
                      <a:t>Ceftriaxone IM</a:t>
                    </a:r>
                    <a:r>
                      <a:rPr lang="en-US" sz="1200" baseline="0" dirty="0">
                        <a:solidFill>
                          <a:schemeClr val="accent2"/>
                        </a:solidFill>
                        <a:latin typeface="Times New Roman" panose="02020603050405020304" pitchFamily="18" charset="0"/>
                        <a:cs typeface="Times New Roman" panose="02020603050405020304" pitchFamily="18" charset="0"/>
                      </a:rPr>
                      <a:t>
</a:t>
                    </a:r>
                    <a:fld id="{3BBFEAA7-7090-4224-B844-4582B15BC7A3}" type="PERCENTAGE">
                      <a:rPr lang="en-US" sz="1200" baseline="0">
                        <a:solidFill>
                          <a:schemeClr val="accent2"/>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2"/>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927-44E8-B4A8-0C01C81DEE01}"/>
                </c:ext>
              </c:extLst>
            </c:dLbl>
            <c:dLbl>
              <c:idx val="2"/>
              <c:layout>
                <c:manualLayout>
                  <c:x val="-1.3971561483206113E-2"/>
                  <c:y val="4.3841644759602651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baseline="0" dirty="0">
                        <a:solidFill>
                          <a:schemeClr val="accent6">
                            <a:lumMod val="50000"/>
                          </a:schemeClr>
                        </a:solidFill>
                        <a:latin typeface="Times New Roman" panose="02020603050405020304" pitchFamily="18" charset="0"/>
                        <a:cs typeface="Times New Roman" panose="02020603050405020304" pitchFamily="18" charset="0"/>
                      </a:rPr>
                      <a:t>Daptomycin
</a:t>
                    </a:r>
                    <a:fld id="{D316B57F-ADBC-48E0-BAFF-E8715FBF2ED7}" type="PERCENTAGE">
                      <a:rPr lang="en-US" sz="1200" baseline="0">
                        <a:solidFill>
                          <a:schemeClr val="accent6">
                            <a:lumMod val="50000"/>
                          </a:schemeClr>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6">
                          <a:lumMod val="5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927-44E8-B4A8-0C01C81DEE01}"/>
                </c:ext>
              </c:extLst>
            </c:dLbl>
            <c:dLbl>
              <c:idx val="3"/>
              <c:layout>
                <c:manualLayout>
                  <c:x val="-9.9950401379858833E-2"/>
                  <c:y val="-9.5307923390440547E-3"/>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dirty="0">
                        <a:solidFill>
                          <a:schemeClr val="accent4"/>
                        </a:solidFill>
                        <a:latin typeface="Times New Roman" panose="02020603050405020304" pitchFamily="18" charset="0"/>
                        <a:cs typeface="Times New Roman" panose="02020603050405020304" pitchFamily="18" charset="0"/>
                      </a:rPr>
                      <a:t>Ertapenem</a:t>
                    </a:r>
                    <a:r>
                      <a:rPr lang="en-US" sz="1200" baseline="0" dirty="0">
                        <a:solidFill>
                          <a:schemeClr val="accent4"/>
                        </a:solidFill>
                        <a:latin typeface="Times New Roman" panose="02020603050405020304" pitchFamily="18" charset="0"/>
                        <a:cs typeface="Times New Roman" panose="02020603050405020304" pitchFamily="18" charset="0"/>
                      </a:rPr>
                      <a:t>
</a:t>
                    </a:r>
                    <a:fld id="{5D3183AB-8626-4A7A-91D0-1D4A5A54AEA7}" type="PERCENTAGE">
                      <a:rPr lang="en-US" sz="1200" baseline="0">
                        <a:solidFill>
                          <a:schemeClr val="accent4"/>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4"/>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927-44E8-B4A8-0C01C81DEE01}"/>
                </c:ext>
              </c:extLst>
            </c:dLbl>
            <c:dLbl>
              <c:idx val="4"/>
              <c:layout>
                <c:manualLayout>
                  <c:x val="-7.093254291473855E-2"/>
                  <c:y val="-8.9589447987014112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dirty="0">
                        <a:solidFill>
                          <a:schemeClr val="accent5"/>
                        </a:solidFill>
                        <a:latin typeface="Times New Roman" panose="02020603050405020304" pitchFamily="18" charset="0"/>
                        <a:cs typeface="Times New Roman" panose="02020603050405020304" pitchFamily="18" charset="0"/>
                      </a:rPr>
                      <a:t>Gentamicin IM</a:t>
                    </a:r>
                    <a:r>
                      <a:rPr lang="en-US" sz="1200" baseline="0" dirty="0">
                        <a:solidFill>
                          <a:schemeClr val="accent5"/>
                        </a:solidFill>
                        <a:latin typeface="Times New Roman" panose="02020603050405020304" pitchFamily="18" charset="0"/>
                        <a:cs typeface="Times New Roman" panose="02020603050405020304" pitchFamily="18" charset="0"/>
                      </a:rPr>
                      <a:t>
</a:t>
                    </a:r>
                    <a:fld id="{C927FA5C-773E-4C22-8D41-677C7857DFE7}" type="PERCENTAGE">
                      <a:rPr lang="en-US" sz="1200" baseline="0">
                        <a:solidFill>
                          <a:schemeClr val="accent5"/>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5"/>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927-44E8-B4A8-0C01C81DEE01}"/>
                </c:ext>
              </c:extLst>
            </c:dLbl>
            <c:dLbl>
              <c:idx val="5"/>
              <c:layout>
                <c:manualLayout>
                  <c:x val="-3.2242064961244807E-2"/>
                  <c:y val="1.9061584678088108E-3"/>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dirty="0">
                        <a:solidFill>
                          <a:schemeClr val="accent6"/>
                        </a:solidFill>
                        <a:latin typeface="Times New Roman" panose="02020603050405020304" pitchFamily="18" charset="0"/>
                        <a:cs typeface="Times New Roman" panose="02020603050405020304" pitchFamily="18" charset="0"/>
                      </a:rPr>
                      <a:t>Methotrexate IM</a:t>
                    </a:r>
                    <a:r>
                      <a:rPr lang="en-US" sz="1200" baseline="0" dirty="0">
                        <a:solidFill>
                          <a:schemeClr val="accent6"/>
                        </a:solidFill>
                        <a:latin typeface="Times New Roman" panose="02020603050405020304" pitchFamily="18" charset="0"/>
                        <a:cs typeface="Times New Roman" panose="02020603050405020304" pitchFamily="18" charset="0"/>
                      </a:rPr>
                      <a:t>
</a:t>
                    </a:r>
                    <a:fld id="{842E9F34-E95D-47FA-A9C5-258A25E08804}" type="PERCENTAGE">
                      <a:rPr lang="en-US" sz="1200" baseline="0">
                        <a:solidFill>
                          <a:schemeClr val="accent6"/>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6"/>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927-44E8-B4A8-0C01C81DEE01}"/>
                </c:ext>
              </c:extLst>
            </c:dLbl>
            <c:dLbl>
              <c:idx val="6"/>
              <c:layout>
                <c:manualLayout>
                  <c:x val="-6.3409394423781407E-2"/>
                  <c:y val="6.4809387905499574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dirty="0">
                        <a:solidFill>
                          <a:schemeClr val="accent1">
                            <a:lumMod val="50000"/>
                          </a:schemeClr>
                        </a:solidFill>
                        <a:latin typeface="Times New Roman" panose="02020603050405020304" pitchFamily="18" charset="0"/>
                        <a:cs typeface="Times New Roman" panose="02020603050405020304" pitchFamily="18" charset="0"/>
                      </a:rPr>
                      <a:t>Paliperidone IM</a:t>
                    </a:r>
                    <a:r>
                      <a:rPr lang="en-US" sz="1200" baseline="0" dirty="0">
                        <a:solidFill>
                          <a:schemeClr val="accent1">
                            <a:lumMod val="50000"/>
                          </a:schemeClr>
                        </a:solidFill>
                        <a:latin typeface="Times New Roman" panose="02020603050405020304" pitchFamily="18" charset="0"/>
                        <a:cs typeface="Times New Roman" panose="02020603050405020304" pitchFamily="18" charset="0"/>
                      </a:rPr>
                      <a:t>
</a:t>
                    </a:r>
                    <a:fld id="{DE2D7D26-423B-43B9-AB8D-0EB25DB2174B}" type="PERCENTAGE">
                      <a:rPr lang="en-US" sz="1200" baseline="0">
                        <a:solidFill>
                          <a:schemeClr val="accent1">
                            <a:lumMod val="50000"/>
                          </a:schemeClr>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1">
                          <a:lumMod val="5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927-44E8-B4A8-0C01C81DEE01}"/>
                </c:ext>
              </c:extLst>
            </c:dLbl>
            <c:dLbl>
              <c:idx val="7"/>
              <c:layout>
                <c:manualLayout>
                  <c:x val="-5.9110452428948773E-2"/>
                  <c:y val="-1.1436950806852865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dirty="0">
                        <a:solidFill>
                          <a:schemeClr val="accent2">
                            <a:lumMod val="75000"/>
                          </a:schemeClr>
                        </a:solidFill>
                        <a:latin typeface="Times New Roman" panose="02020603050405020304" pitchFamily="18" charset="0"/>
                        <a:cs typeface="Times New Roman" panose="02020603050405020304" pitchFamily="18" charset="0"/>
                      </a:rPr>
                      <a:t>Penicillin G IM</a:t>
                    </a:r>
                    <a:r>
                      <a:rPr lang="en-US" sz="1200" baseline="0" dirty="0">
                        <a:solidFill>
                          <a:schemeClr val="accent2">
                            <a:lumMod val="75000"/>
                          </a:schemeClr>
                        </a:solidFill>
                        <a:latin typeface="Times New Roman" panose="02020603050405020304" pitchFamily="18" charset="0"/>
                        <a:cs typeface="Times New Roman" panose="02020603050405020304" pitchFamily="18" charset="0"/>
                      </a:rPr>
                      <a:t>
</a:t>
                    </a:r>
                    <a:fld id="{645923D1-77E6-4018-9C0B-3C06CFC0C788}" type="PERCENTAGE">
                      <a:rPr lang="en-US" sz="1200" baseline="0" dirty="0">
                        <a:solidFill>
                          <a:schemeClr val="accent2">
                            <a:lumMod val="75000"/>
                          </a:schemeClr>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2">
                          <a:lumMod val="75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9927-44E8-B4A8-0C01C81DEE01}"/>
                </c:ext>
              </c:extLst>
            </c:dLbl>
            <c:dLbl>
              <c:idx val="8"/>
              <c:layout>
                <c:manualLayout>
                  <c:x val="-0.13111773084239547"/>
                  <c:y val="-2.4780060081514541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baseline="0" dirty="0">
                        <a:solidFill>
                          <a:schemeClr val="accent6">
                            <a:lumMod val="50000"/>
                          </a:schemeClr>
                        </a:solidFill>
                        <a:latin typeface="Times New Roman" panose="02020603050405020304" pitchFamily="18" charset="0"/>
                        <a:cs typeface="Times New Roman" panose="02020603050405020304" pitchFamily="18" charset="0"/>
                      </a:rPr>
                      <a:t>Rabies Vaccine
</a:t>
                    </a:r>
                    <a:fld id="{FC14542A-29E9-4FA4-B078-EA3B1F601BEE}" type="PERCENTAGE">
                      <a:rPr lang="en-US" sz="1200" baseline="0" dirty="0">
                        <a:solidFill>
                          <a:schemeClr val="accent6">
                            <a:lumMod val="50000"/>
                          </a:schemeClr>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6">
                          <a:lumMod val="5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9927-44E8-B4A8-0C01C81DEE01}"/>
                </c:ext>
              </c:extLst>
            </c:dLbl>
            <c:dLbl>
              <c:idx val="9"/>
              <c:layout>
                <c:manualLayout>
                  <c:x val="-4.8363097441867176E-2"/>
                  <c:y val="0"/>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dirty="0">
                        <a:solidFill>
                          <a:schemeClr val="accent4">
                            <a:lumMod val="75000"/>
                          </a:schemeClr>
                        </a:solidFill>
                        <a:latin typeface="Times New Roman" panose="02020603050405020304" pitchFamily="18" charset="0"/>
                        <a:cs typeface="Times New Roman" panose="02020603050405020304" pitchFamily="18" charset="0"/>
                      </a:rPr>
                      <a:t>Rabies Immune Globulin</a:t>
                    </a:r>
                    <a:r>
                      <a:rPr lang="en-US" sz="1200" baseline="0" dirty="0">
                        <a:solidFill>
                          <a:schemeClr val="accent4">
                            <a:lumMod val="75000"/>
                          </a:schemeClr>
                        </a:solidFill>
                        <a:latin typeface="Times New Roman" panose="02020603050405020304" pitchFamily="18" charset="0"/>
                        <a:cs typeface="Times New Roman" panose="02020603050405020304" pitchFamily="18" charset="0"/>
                      </a:rPr>
                      <a:t>
</a:t>
                    </a:r>
                    <a:fld id="{38B6DBD2-3CC0-49AF-AC8B-C7583F922A1B}" type="PERCENTAGE">
                      <a:rPr lang="en-US" sz="1200" baseline="0">
                        <a:solidFill>
                          <a:schemeClr val="accent4">
                            <a:lumMod val="75000"/>
                          </a:schemeClr>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4">
                          <a:lumMod val="75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9927-44E8-B4A8-0C01C81DEE01}"/>
                </c:ext>
              </c:extLst>
            </c:dLbl>
            <c:dLbl>
              <c:idx val="10"/>
              <c:layout>
                <c:manualLayout>
                  <c:x val="6.8592267312739749E-2"/>
                  <c:y val="-4.4787357860628284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200" baseline="0" dirty="0" err="1">
                        <a:solidFill>
                          <a:schemeClr val="accent5">
                            <a:lumMod val="75000"/>
                          </a:schemeClr>
                        </a:solidFill>
                        <a:latin typeface="Times New Roman" panose="02020603050405020304" pitchFamily="18" charset="0"/>
                        <a:cs typeface="Times New Roman" panose="02020603050405020304" pitchFamily="18" charset="0"/>
                      </a:rPr>
                      <a:t>Rhophylac</a:t>
                    </a:r>
                    <a:r>
                      <a:rPr lang="en-US" sz="1200" b="1" i="0" u="none" strike="noStrike" kern="1200" spc="0" baseline="0" dirty="0">
                        <a:solidFill>
                          <a:schemeClr val="accent5">
                            <a:lumMod val="75000"/>
                          </a:schemeClr>
                        </a:solidFill>
                        <a:latin typeface="Times New Roman" panose="02020603050405020304" pitchFamily="18" charset="0"/>
                        <a:cs typeface="Times New Roman" panose="02020603050405020304" pitchFamily="18" charset="0"/>
                      </a:rPr>
                      <a:t>®</a:t>
                    </a:r>
                    <a:r>
                      <a:rPr lang="en-US" sz="1200" baseline="0" dirty="0">
                        <a:solidFill>
                          <a:schemeClr val="accent5">
                            <a:lumMod val="75000"/>
                          </a:schemeClr>
                        </a:solidFill>
                        <a:latin typeface="Times New Roman" panose="02020603050405020304" pitchFamily="18" charset="0"/>
                        <a:cs typeface="Times New Roman" panose="02020603050405020304" pitchFamily="18" charset="0"/>
                      </a:rPr>
                      <a:t>
</a:t>
                    </a:r>
                    <a:fld id="{1D63A00B-D12B-4653-B764-17E48521C5BD}" type="PERCENTAGE">
                      <a:rPr lang="en-US" sz="1200" baseline="0">
                        <a:solidFill>
                          <a:schemeClr val="accent5">
                            <a:lumMod val="75000"/>
                          </a:schemeClr>
                        </a:solidFill>
                        <a:latin typeface="Times New Roman" panose="02020603050405020304" pitchFamily="18" charset="0"/>
                        <a:cs typeface="Times New Roman" panose="02020603050405020304" pitchFamily="18" charset="0"/>
                      </a:rPr>
                      <a:pPr>
                        <a:defRPr sz="1200">
                          <a:solidFill>
                            <a:schemeClr val="accent1"/>
                          </a:solidFill>
                          <a:latin typeface="Times New Roman" panose="02020603050405020304" pitchFamily="18" charset="0"/>
                          <a:cs typeface="Times New Roman" panose="02020603050405020304" pitchFamily="18" charset="0"/>
                        </a:defRPr>
                      </a:pPr>
                      <a:t>[PERCENTAGE]</a:t>
                    </a:fld>
                    <a:endParaRPr lang="en-US" sz="1200" baseline="0" dirty="0">
                      <a:solidFill>
                        <a:schemeClr val="accent5">
                          <a:lumMod val="75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9927-44E8-B4A8-0C01C81DEE0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Bebtelivomab (n=2)</c:v>
                </c:pt>
                <c:pt idx="1">
                  <c:v>Ceftriaxone IM (n=52)</c:v>
                </c:pt>
                <c:pt idx="2">
                  <c:v>Daptomycin (n=3)</c:v>
                </c:pt>
                <c:pt idx="3">
                  <c:v>Ertapenem (n=1)</c:v>
                </c:pt>
                <c:pt idx="4">
                  <c:v>Gentamicin IM (n=1)</c:v>
                </c:pt>
                <c:pt idx="5">
                  <c:v>Methotrexate IM (n=15)</c:v>
                </c:pt>
                <c:pt idx="6">
                  <c:v>Paliperidone IM (n=1)</c:v>
                </c:pt>
                <c:pt idx="7">
                  <c:v>Penicillin G IM (n=3)</c:v>
                </c:pt>
                <c:pt idx="8">
                  <c:v>Rabies Vaccine (n=7)</c:v>
                </c:pt>
                <c:pt idx="9">
                  <c:v>Rabies Immune Globulin (n=4)</c:v>
                </c:pt>
                <c:pt idx="10">
                  <c:v>Rhophylac® (n=1)</c:v>
                </c:pt>
              </c:strCache>
            </c:strRef>
          </c:cat>
          <c:val>
            <c:numRef>
              <c:f>Sheet1!$B$2:$B$12</c:f>
              <c:numCache>
                <c:formatCode>General</c:formatCode>
                <c:ptCount val="11"/>
                <c:pt idx="0">
                  <c:v>2</c:v>
                </c:pt>
                <c:pt idx="1">
                  <c:v>52</c:v>
                </c:pt>
                <c:pt idx="2">
                  <c:v>3</c:v>
                </c:pt>
                <c:pt idx="3">
                  <c:v>1</c:v>
                </c:pt>
                <c:pt idx="4">
                  <c:v>1</c:v>
                </c:pt>
                <c:pt idx="5">
                  <c:v>15</c:v>
                </c:pt>
                <c:pt idx="6">
                  <c:v>1</c:v>
                </c:pt>
                <c:pt idx="7">
                  <c:v>3</c:v>
                </c:pt>
                <c:pt idx="8">
                  <c:v>7</c:v>
                </c:pt>
                <c:pt idx="9">
                  <c:v>4</c:v>
                </c:pt>
                <c:pt idx="10">
                  <c:v>1</c:v>
                </c:pt>
              </c:numCache>
            </c:numRef>
          </c:val>
          <c:extLst>
            <c:ext xmlns:c16="http://schemas.microsoft.com/office/drawing/2014/chart" uri="{C3380CC4-5D6E-409C-BE32-E72D297353CC}">
              <c16:uniqueId val="{00000016-9927-44E8-B4A8-0C01C81DEE0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D22FF3-5948-4210-8F4E-84DCCCECA40B}"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FF225515-F38A-4ED4-8B9B-0E933EF3F6D2}">
      <dgm:prSet phldrT="[Text]" custT="1"/>
      <dgm:spPr>
        <a:solidFill>
          <a:schemeClr val="bg1"/>
        </a:solidFill>
        <a:ln>
          <a:solidFill>
            <a:schemeClr val="tx1"/>
          </a:solidFill>
        </a:ln>
      </dgm:spPr>
      <dgm:t>
        <a:bodyPr/>
        <a:lstStyle/>
        <a:p>
          <a:r>
            <a:rPr lang="en-US" sz="1200" dirty="0">
              <a:solidFill>
                <a:schemeClr val="tx1"/>
              </a:solidFill>
              <a:latin typeface="Times New Roman" panose="02020603050405020304" pitchFamily="18" charset="0"/>
              <a:cs typeface="Times New Roman" panose="02020603050405020304" pitchFamily="18" charset="0"/>
            </a:rPr>
            <a:t>Administrations of studied medications given during study period in ED</a:t>
          </a:r>
        </a:p>
      </dgm:t>
    </dgm:pt>
    <dgm:pt modelId="{3D15CCAD-1913-4EDD-A044-E95AE8CE4F65}" type="parTrans" cxnId="{50957066-B6C4-47D7-B302-4BE73A0EB7B5}">
      <dgm:prSet/>
      <dgm:spPr/>
      <dgm:t>
        <a:bodyPr/>
        <a:lstStyle/>
        <a:p>
          <a:endParaRPr lang="en-US" sz="1200">
            <a:latin typeface="Times New Roman" panose="02020603050405020304" pitchFamily="18" charset="0"/>
            <a:cs typeface="Times New Roman" panose="02020603050405020304" pitchFamily="18" charset="0"/>
          </a:endParaRPr>
        </a:p>
      </dgm:t>
    </dgm:pt>
    <dgm:pt modelId="{0BF554CC-640A-4472-A9E2-35CE1E5A3E75}" type="sibTrans" cxnId="{50957066-B6C4-47D7-B302-4BE73A0EB7B5}">
      <dgm:prSet custT="1"/>
      <dgm:spPr>
        <a:solidFill>
          <a:schemeClr val="bg1">
            <a:lumMod val="75000"/>
            <a:alpha val="90000"/>
          </a:schemeClr>
        </a:solidFill>
        <a:ln>
          <a:solidFill>
            <a:schemeClr val="tx1"/>
          </a:solidFill>
        </a:ln>
      </dgm:spPr>
      <dgm:t>
        <a:bodyPr/>
        <a:lstStyle/>
        <a:p>
          <a:pPr algn="ctr"/>
          <a:r>
            <a:rPr lang="en-US" sz="1200" dirty="0">
              <a:latin typeface="Times New Roman" panose="02020603050405020304" pitchFamily="18" charset="0"/>
              <a:cs typeface="Times New Roman" panose="02020603050405020304" pitchFamily="18" charset="0"/>
            </a:rPr>
            <a:t>n=606</a:t>
          </a:r>
        </a:p>
      </dgm:t>
    </dgm:pt>
    <dgm:pt modelId="{56D1B66D-9756-471F-B4B1-4B729437746B}" type="asst">
      <dgm:prSet phldrT="[Text]" custT="1"/>
      <dgm:spPr>
        <a:solidFill>
          <a:schemeClr val="bg1"/>
        </a:solidFill>
        <a:ln>
          <a:solidFill>
            <a:schemeClr val="tx1"/>
          </a:solidFill>
        </a:ln>
      </dgm:spPr>
      <dgm:t>
        <a:bodyPr/>
        <a:lstStyle/>
        <a:p>
          <a:r>
            <a:rPr lang="en-US" sz="1200" dirty="0">
              <a:solidFill>
                <a:schemeClr val="tx1"/>
              </a:solidFill>
              <a:latin typeface="Times New Roman" panose="02020603050405020304" pitchFamily="18" charset="0"/>
              <a:cs typeface="Times New Roman" panose="02020603050405020304" pitchFamily="18" charset="0"/>
            </a:rPr>
            <a:t>Administrations excluded</a:t>
          </a:r>
        </a:p>
      </dgm:t>
    </dgm:pt>
    <dgm:pt modelId="{1CBC86F4-C4EB-4629-8211-F2FBC0F243CD}" type="parTrans" cxnId="{02485A23-4D4C-477A-AF15-3173CB37C2EC}">
      <dgm:prSet/>
      <dgm:spPr>
        <a:ln>
          <a:solidFill>
            <a:schemeClr val="tx1"/>
          </a:solidFill>
        </a:ln>
      </dgm:spPr>
      <dgm:t>
        <a:bodyPr/>
        <a:lstStyle/>
        <a:p>
          <a:endParaRPr lang="en-US" sz="1200">
            <a:latin typeface="Times New Roman" panose="02020603050405020304" pitchFamily="18" charset="0"/>
            <a:cs typeface="Times New Roman" panose="02020603050405020304" pitchFamily="18" charset="0"/>
          </a:endParaRPr>
        </a:p>
      </dgm:t>
    </dgm:pt>
    <dgm:pt modelId="{20A82BB1-D96A-4D77-9BEF-89C649A943F3}" type="sibTrans" cxnId="{02485A23-4D4C-477A-AF15-3173CB37C2EC}">
      <dgm:prSet custT="1"/>
      <dgm:spPr>
        <a:solidFill>
          <a:schemeClr val="bg1">
            <a:lumMod val="75000"/>
            <a:alpha val="90000"/>
          </a:schemeClr>
        </a:solidFill>
        <a:ln>
          <a:solidFill>
            <a:schemeClr val="tx1"/>
          </a:solidFill>
        </a:ln>
      </dgm:spPr>
      <dgm:t>
        <a:bodyPr/>
        <a:lstStyle/>
        <a:p>
          <a:pPr algn="ctr"/>
          <a:r>
            <a:rPr lang="en-US" sz="1200" dirty="0">
              <a:latin typeface="Times New Roman" panose="02020603050405020304" pitchFamily="18" charset="0"/>
              <a:cs typeface="Times New Roman" panose="02020603050405020304" pitchFamily="18" charset="0"/>
            </a:rPr>
            <a:t>n=516</a:t>
          </a:r>
        </a:p>
      </dgm:t>
    </dgm:pt>
    <dgm:pt modelId="{32A54F5F-5F9D-4085-82B9-E8319C6E42CB}">
      <dgm:prSet phldrT="[Text]" custT="1"/>
      <dgm:spPr>
        <a:solidFill>
          <a:schemeClr val="bg1"/>
        </a:solidFill>
        <a:ln>
          <a:solidFill>
            <a:schemeClr val="tx1"/>
          </a:solidFill>
        </a:ln>
      </dgm:spPr>
      <dgm:t>
        <a:bodyPr/>
        <a:lstStyle/>
        <a:p>
          <a:r>
            <a:rPr lang="en-US" sz="1200" dirty="0">
              <a:solidFill>
                <a:schemeClr val="tx1"/>
              </a:solidFill>
              <a:latin typeface="Times New Roman" panose="02020603050405020304" pitchFamily="18" charset="0"/>
              <a:cs typeface="Times New Roman" panose="02020603050405020304" pitchFamily="18" charset="0"/>
            </a:rPr>
            <a:t>Administrations that met criteria</a:t>
          </a:r>
        </a:p>
      </dgm:t>
    </dgm:pt>
    <dgm:pt modelId="{13868DB6-E3C0-410C-8EA2-552A39E3E1B8}" type="parTrans" cxnId="{79B98C66-F645-46AC-A6EF-6754628AFFFC}">
      <dgm:prSet/>
      <dgm:spPr>
        <a:ln>
          <a:solidFill>
            <a:schemeClr val="tx1"/>
          </a:solidFill>
        </a:ln>
      </dgm:spPr>
      <dgm:t>
        <a:bodyPr/>
        <a:lstStyle/>
        <a:p>
          <a:endParaRPr lang="en-US" sz="1200">
            <a:latin typeface="Times New Roman" panose="02020603050405020304" pitchFamily="18" charset="0"/>
            <a:cs typeface="Times New Roman" panose="02020603050405020304" pitchFamily="18" charset="0"/>
          </a:endParaRPr>
        </a:p>
      </dgm:t>
    </dgm:pt>
    <dgm:pt modelId="{4C4CA7FB-1A04-4160-BA00-12B5C6C3F24B}" type="sibTrans" cxnId="{79B98C66-F645-46AC-A6EF-6754628AFFFC}">
      <dgm:prSet custT="1"/>
      <dgm:spPr>
        <a:solidFill>
          <a:schemeClr val="bg1">
            <a:lumMod val="75000"/>
            <a:alpha val="90000"/>
          </a:schemeClr>
        </a:solidFill>
        <a:ln>
          <a:solidFill>
            <a:schemeClr val="tx1"/>
          </a:solidFill>
        </a:ln>
      </dgm:spPr>
      <dgm:t>
        <a:bodyPr/>
        <a:lstStyle/>
        <a:p>
          <a:pPr algn="ctr"/>
          <a:r>
            <a:rPr lang="en-US" sz="1200" dirty="0">
              <a:latin typeface="Times New Roman" panose="02020603050405020304" pitchFamily="18" charset="0"/>
              <a:cs typeface="Times New Roman" panose="02020603050405020304" pitchFamily="18" charset="0"/>
            </a:rPr>
            <a:t>n=90</a:t>
          </a:r>
        </a:p>
      </dgm:t>
    </dgm:pt>
    <dgm:pt modelId="{A37F7589-84A7-45C3-8F0B-43EFC7F410A9}" type="pres">
      <dgm:prSet presAssocID="{5DD22FF3-5948-4210-8F4E-84DCCCECA40B}" presName="hierChild1" presStyleCnt="0">
        <dgm:presLayoutVars>
          <dgm:orgChart val="1"/>
          <dgm:chPref val="1"/>
          <dgm:dir/>
          <dgm:animOne val="branch"/>
          <dgm:animLvl val="lvl"/>
          <dgm:resizeHandles/>
        </dgm:presLayoutVars>
      </dgm:prSet>
      <dgm:spPr/>
    </dgm:pt>
    <dgm:pt modelId="{96FB808E-BD78-4FD5-B114-707168D38501}" type="pres">
      <dgm:prSet presAssocID="{FF225515-F38A-4ED4-8B9B-0E933EF3F6D2}" presName="hierRoot1" presStyleCnt="0">
        <dgm:presLayoutVars>
          <dgm:hierBranch val="init"/>
        </dgm:presLayoutVars>
      </dgm:prSet>
      <dgm:spPr/>
    </dgm:pt>
    <dgm:pt modelId="{82BEF859-0961-4425-83B3-257F547F8451}" type="pres">
      <dgm:prSet presAssocID="{FF225515-F38A-4ED4-8B9B-0E933EF3F6D2}" presName="rootComposite1" presStyleCnt="0"/>
      <dgm:spPr/>
    </dgm:pt>
    <dgm:pt modelId="{28F7D9D5-73FD-4050-B5CD-AE09D2F8D51F}" type="pres">
      <dgm:prSet presAssocID="{FF225515-F38A-4ED4-8B9B-0E933EF3F6D2}" presName="rootText1" presStyleLbl="node0" presStyleIdx="0" presStyleCnt="1" custScaleX="147541">
        <dgm:presLayoutVars>
          <dgm:chMax/>
          <dgm:chPref val="3"/>
        </dgm:presLayoutVars>
      </dgm:prSet>
      <dgm:spPr/>
    </dgm:pt>
    <dgm:pt modelId="{BD34B7AA-9658-4152-BBED-A27FD5E89A41}" type="pres">
      <dgm:prSet presAssocID="{FF225515-F38A-4ED4-8B9B-0E933EF3F6D2}" presName="titleText1" presStyleLbl="fgAcc0" presStyleIdx="0" presStyleCnt="1" custLinFactNeighborX="1622" custLinFactNeighborY="27324">
        <dgm:presLayoutVars>
          <dgm:chMax val="0"/>
          <dgm:chPref val="0"/>
        </dgm:presLayoutVars>
      </dgm:prSet>
      <dgm:spPr/>
    </dgm:pt>
    <dgm:pt modelId="{E08C3E3A-A52D-4887-9113-3CB06D2C9F56}" type="pres">
      <dgm:prSet presAssocID="{FF225515-F38A-4ED4-8B9B-0E933EF3F6D2}" presName="rootConnector1" presStyleLbl="node1" presStyleIdx="0" presStyleCnt="1"/>
      <dgm:spPr/>
    </dgm:pt>
    <dgm:pt modelId="{0BA13456-F1FC-41C3-835B-82168F563B9E}" type="pres">
      <dgm:prSet presAssocID="{FF225515-F38A-4ED4-8B9B-0E933EF3F6D2}" presName="hierChild2" presStyleCnt="0"/>
      <dgm:spPr/>
    </dgm:pt>
    <dgm:pt modelId="{AB909B5F-2D3A-4F29-B30B-398DB7CFB786}" type="pres">
      <dgm:prSet presAssocID="{13868DB6-E3C0-410C-8EA2-552A39E3E1B8}" presName="Name37" presStyleLbl="parChTrans1D2" presStyleIdx="0" presStyleCnt="2"/>
      <dgm:spPr/>
    </dgm:pt>
    <dgm:pt modelId="{5970F69E-A06D-4CDD-8845-5A4EF35A5719}" type="pres">
      <dgm:prSet presAssocID="{32A54F5F-5F9D-4085-82B9-E8319C6E42CB}" presName="hierRoot2" presStyleCnt="0">
        <dgm:presLayoutVars>
          <dgm:hierBranch val="init"/>
        </dgm:presLayoutVars>
      </dgm:prSet>
      <dgm:spPr/>
    </dgm:pt>
    <dgm:pt modelId="{BE853455-ADE6-4A4E-A39A-08EBFF32C218}" type="pres">
      <dgm:prSet presAssocID="{32A54F5F-5F9D-4085-82B9-E8319C6E42CB}" presName="rootComposite" presStyleCnt="0"/>
      <dgm:spPr/>
    </dgm:pt>
    <dgm:pt modelId="{A67779B0-FCC7-4240-982C-13E0A0146907}" type="pres">
      <dgm:prSet presAssocID="{32A54F5F-5F9D-4085-82B9-E8319C6E42CB}" presName="rootText" presStyleLbl="node1" presStyleIdx="0" presStyleCnt="1">
        <dgm:presLayoutVars>
          <dgm:chMax/>
          <dgm:chPref val="3"/>
        </dgm:presLayoutVars>
      </dgm:prSet>
      <dgm:spPr/>
    </dgm:pt>
    <dgm:pt modelId="{216D2280-BE70-4B48-9318-8E7DBC8F66D5}" type="pres">
      <dgm:prSet presAssocID="{32A54F5F-5F9D-4085-82B9-E8319C6E42CB}" presName="titleText2" presStyleLbl="fgAcc1" presStyleIdx="0" presStyleCnt="1">
        <dgm:presLayoutVars>
          <dgm:chMax val="0"/>
          <dgm:chPref val="0"/>
        </dgm:presLayoutVars>
      </dgm:prSet>
      <dgm:spPr/>
    </dgm:pt>
    <dgm:pt modelId="{CE0DD52C-4C7A-4000-889C-4E5A61AC0B54}" type="pres">
      <dgm:prSet presAssocID="{32A54F5F-5F9D-4085-82B9-E8319C6E42CB}" presName="rootConnector" presStyleLbl="node2" presStyleIdx="0" presStyleCnt="0"/>
      <dgm:spPr/>
    </dgm:pt>
    <dgm:pt modelId="{EC8DE54F-6BA6-48AB-9575-4513F1915F5F}" type="pres">
      <dgm:prSet presAssocID="{32A54F5F-5F9D-4085-82B9-E8319C6E42CB}" presName="hierChild4" presStyleCnt="0"/>
      <dgm:spPr/>
    </dgm:pt>
    <dgm:pt modelId="{BE963FC1-2807-45E0-8C40-842939DE8733}" type="pres">
      <dgm:prSet presAssocID="{32A54F5F-5F9D-4085-82B9-E8319C6E42CB}" presName="hierChild5" presStyleCnt="0"/>
      <dgm:spPr/>
    </dgm:pt>
    <dgm:pt modelId="{4BDFBCD1-81DE-4955-AAC1-9CDC18B6D791}" type="pres">
      <dgm:prSet presAssocID="{FF225515-F38A-4ED4-8B9B-0E933EF3F6D2}" presName="hierChild3" presStyleCnt="0"/>
      <dgm:spPr/>
    </dgm:pt>
    <dgm:pt modelId="{347D6260-1830-4FE0-82C7-A1CC7AC7ADC1}" type="pres">
      <dgm:prSet presAssocID="{1CBC86F4-C4EB-4629-8211-F2FBC0F243CD}" presName="Name96" presStyleLbl="parChTrans1D2" presStyleIdx="1" presStyleCnt="2"/>
      <dgm:spPr/>
    </dgm:pt>
    <dgm:pt modelId="{4D172EC9-F4B5-4FCC-A329-5C93B22BEE65}" type="pres">
      <dgm:prSet presAssocID="{56D1B66D-9756-471F-B4B1-4B729437746B}" presName="hierRoot3" presStyleCnt="0">
        <dgm:presLayoutVars>
          <dgm:hierBranch val="init"/>
        </dgm:presLayoutVars>
      </dgm:prSet>
      <dgm:spPr/>
    </dgm:pt>
    <dgm:pt modelId="{1CADA54D-EB36-475D-AB46-A7EC674C315C}" type="pres">
      <dgm:prSet presAssocID="{56D1B66D-9756-471F-B4B1-4B729437746B}" presName="rootComposite3" presStyleCnt="0"/>
      <dgm:spPr/>
    </dgm:pt>
    <dgm:pt modelId="{6187A40C-7641-4C23-BCE4-F7F3B0AB2861}" type="pres">
      <dgm:prSet presAssocID="{56D1B66D-9756-471F-B4B1-4B729437746B}" presName="rootText3" presStyleLbl="asst1" presStyleIdx="0" presStyleCnt="1" custLinFactNeighborX="-381" custLinFactNeighborY="7477">
        <dgm:presLayoutVars>
          <dgm:chPref val="3"/>
        </dgm:presLayoutVars>
      </dgm:prSet>
      <dgm:spPr/>
    </dgm:pt>
    <dgm:pt modelId="{515AF386-F8FF-45AE-9918-D519C650E29B}" type="pres">
      <dgm:prSet presAssocID="{56D1B66D-9756-471F-B4B1-4B729437746B}" presName="titleText3" presStyleLbl="fgAcc2" presStyleIdx="0" presStyleCnt="1">
        <dgm:presLayoutVars>
          <dgm:chMax val="0"/>
          <dgm:chPref val="0"/>
        </dgm:presLayoutVars>
      </dgm:prSet>
      <dgm:spPr/>
    </dgm:pt>
    <dgm:pt modelId="{4C31D687-F8BB-48A8-9DE2-2DA3E272F1D1}" type="pres">
      <dgm:prSet presAssocID="{56D1B66D-9756-471F-B4B1-4B729437746B}" presName="rootConnector3" presStyleLbl="asst1" presStyleIdx="0" presStyleCnt="1"/>
      <dgm:spPr/>
    </dgm:pt>
    <dgm:pt modelId="{F9326B37-C8EB-4B08-9D6D-A9DA018F3DA3}" type="pres">
      <dgm:prSet presAssocID="{56D1B66D-9756-471F-B4B1-4B729437746B}" presName="hierChild6" presStyleCnt="0"/>
      <dgm:spPr/>
    </dgm:pt>
    <dgm:pt modelId="{9D8ED61E-3508-4CE2-80A2-44DC14100915}" type="pres">
      <dgm:prSet presAssocID="{56D1B66D-9756-471F-B4B1-4B729437746B}" presName="hierChild7" presStyleCnt="0"/>
      <dgm:spPr/>
    </dgm:pt>
  </dgm:ptLst>
  <dgm:cxnLst>
    <dgm:cxn modelId="{C93B2114-A5F2-4779-B345-34B6F74065ED}" type="presOf" srcId="{FF225515-F38A-4ED4-8B9B-0E933EF3F6D2}" destId="{28F7D9D5-73FD-4050-B5CD-AE09D2F8D51F}" srcOrd="0" destOrd="0" presId="urn:microsoft.com/office/officeart/2008/layout/NameandTitleOrganizationalChart"/>
    <dgm:cxn modelId="{02485A23-4D4C-477A-AF15-3173CB37C2EC}" srcId="{FF225515-F38A-4ED4-8B9B-0E933EF3F6D2}" destId="{56D1B66D-9756-471F-B4B1-4B729437746B}" srcOrd="0" destOrd="0" parTransId="{1CBC86F4-C4EB-4629-8211-F2FBC0F243CD}" sibTransId="{20A82BB1-D96A-4D77-9BEF-89C649A943F3}"/>
    <dgm:cxn modelId="{419DE931-2B9A-4C38-A8E4-5F0DA1BB637F}" type="presOf" srcId="{13868DB6-E3C0-410C-8EA2-552A39E3E1B8}" destId="{AB909B5F-2D3A-4F29-B30B-398DB7CFB786}" srcOrd="0" destOrd="0" presId="urn:microsoft.com/office/officeart/2008/layout/NameandTitleOrganizationalChart"/>
    <dgm:cxn modelId="{DAFE4D60-555F-4F6C-A1BC-23F70CF2C159}" type="presOf" srcId="{56D1B66D-9756-471F-B4B1-4B729437746B}" destId="{6187A40C-7641-4C23-BCE4-F7F3B0AB2861}" srcOrd="0" destOrd="0" presId="urn:microsoft.com/office/officeart/2008/layout/NameandTitleOrganizationalChart"/>
    <dgm:cxn modelId="{67511E65-82FE-47DB-9FCE-CC4B7B50F0D5}" type="presOf" srcId="{32A54F5F-5F9D-4085-82B9-E8319C6E42CB}" destId="{A67779B0-FCC7-4240-982C-13E0A0146907}" srcOrd="0" destOrd="0" presId="urn:microsoft.com/office/officeart/2008/layout/NameandTitleOrganizationalChart"/>
    <dgm:cxn modelId="{50957066-B6C4-47D7-B302-4BE73A0EB7B5}" srcId="{5DD22FF3-5948-4210-8F4E-84DCCCECA40B}" destId="{FF225515-F38A-4ED4-8B9B-0E933EF3F6D2}" srcOrd="0" destOrd="0" parTransId="{3D15CCAD-1913-4EDD-A044-E95AE8CE4F65}" sibTransId="{0BF554CC-640A-4472-A9E2-35CE1E5A3E75}"/>
    <dgm:cxn modelId="{79B98C66-F645-46AC-A6EF-6754628AFFFC}" srcId="{FF225515-F38A-4ED4-8B9B-0E933EF3F6D2}" destId="{32A54F5F-5F9D-4085-82B9-E8319C6E42CB}" srcOrd="1" destOrd="0" parTransId="{13868DB6-E3C0-410C-8EA2-552A39E3E1B8}" sibTransId="{4C4CA7FB-1A04-4160-BA00-12B5C6C3F24B}"/>
    <dgm:cxn modelId="{021EDF54-02F5-4870-9043-91EB6F792C50}" type="presOf" srcId="{FF225515-F38A-4ED4-8B9B-0E933EF3F6D2}" destId="{E08C3E3A-A52D-4887-9113-3CB06D2C9F56}" srcOrd="1" destOrd="0" presId="urn:microsoft.com/office/officeart/2008/layout/NameandTitleOrganizationalChart"/>
    <dgm:cxn modelId="{BDDAC578-C4B8-477D-8879-B42C52A3B5E2}" type="presOf" srcId="{4C4CA7FB-1A04-4160-BA00-12B5C6C3F24B}" destId="{216D2280-BE70-4B48-9318-8E7DBC8F66D5}" srcOrd="0" destOrd="0" presId="urn:microsoft.com/office/officeart/2008/layout/NameandTitleOrganizationalChart"/>
    <dgm:cxn modelId="{1E977080-B6AC-4DAD-B3F4-65460FB5988C}" type="presOf" srcId="{56D1B66D-9756-471F-B4B1-4B729437746B}" destId="{4C31D687-F8BB-48A8-9DE2-2DA3E272F1D1}" srcOrd="1" destOrd="0" presId="urn:microsoft.com/office/officeart/2008/layout/NameandTitleOrganizationalChart"/>
    <dgm:cxn modelId="{87B8C589-D846-44BA-82A4-128683D23948}" type="presOf" srcId="{20A82BB1-D96A-4D77-9BEF-89C649A943F3}" destId="{515AF386-F8FF-45AE-9918-D519C650E29B}" srcOrd="0" destOrd="0" presId="urn:microsoft.com/office/officeart/2008/layout/NameandTitleOrganizationalChart"/>
    <dgm:cxn modelId="{37218D91-6A5E-4E46-B283-D3C7586F880B}" type="presOf" srcId="{5DD22FF3-5948-4210-8F4E-84DCCCECA40B}" destId="{A37F7589-84A7-45C3-8F0B-43EFC7F410A9}" srcOrd="0" destOrd="0" presId="urn:microsoft.com/office/officeart/2008/layout/NameandTitleOrganizationalChart"/>
    <dgm:cxn modelId="{6578E2AD-BB08-4A28-9CBC-80A08CCF7281}" type="presOf" srcId="{1CBC86F4-C4EB-4629-8211-F2FBC0F243CD}" destId="{347D6260-1830-4FE0-82C7-A1CC7AC7ADC1}" srcOrd="0" destOrd="0" presId="urn:microsoft.com/office/officeart/2008/layout/NameandTitleOrganizationalChart"/>
    <dgm:cxn modelId="{78B546E0-C5C8-41A1-B2B0-BA22FDBCC7A0}" type="presOf" srcId="{0BF554CC-640A-4472-A9E2-35CE1E5A3E75}" destId="{BD34B7AA-9658-4152-BBED-A27FD5E89A41}" srcOrd="0" destOrd="0" presId="urn:microsoft.com/office/officeart/2008/layout/NameandTitleOrganizationalChart"/>
    <dgm:cxn modelId="{470D46FE-4016-4543-8E75-D2E023067701}" type="presOf" srcId="{32A54F5F-5F9D-4085-82B9-E8319C6E42CB}" destId="{CE0DD52C-4C7A-4000-889C-4E5A61AC0B54}" srcOrd="1" destOrd="0" presId="urn:microsoft.com/office/officeart/2008/layout/NameandTitleOrganizationalChart"/>
    <dgm:cxn modelId="{F2EE5E64-FE4D-48C9-B3E0-92933DBB5AAD}" type="presParOf" srcId="{A37F7589-84A7-45C3-8F0B-43EFC7F410A9}" destId="{96FB808E-BD78-4FD5-B114-707168D38501}" srcOrd="0" destOrd="0" presId="urn:microsoft.com/office/officeart/2008/layout/NameandTitleOrganizationalChart"/>
    <dgm:cxn modelId="{653FDB6A-8A64-4023-B879-F440FF24DCF2}" type="presParOf" srcId="{96FB808E-BD78-4FD5-B114-707168D38501}" destId="{82BEF859-0961-4425-83B3-257F547F8451}" srcOrd="0" destOrd="0" presId="urn:microsoft.com/office/officeart/2008/layout/NameandTitleOrganizationalChart"/>
    <dgm:cxn modelId="{7D39AFD4-0DF6-48C5-B722-2D56A83914A6}" type="presParOf" srcId="{82BEF859-0961-4425-83B3-257F547F8451}" destId="{28F7D9D5-73FD-4050-B5CD-AE09D2F8D51F}" srcOrd="0" destOrd="0" presId="urn:microsoft.com/office/officeart/2008/layout/NameandTitleOrganizationalChart"/>
    <dgm:cxn modelId="{FE57D4C7-D7E8-4AE2-997F-4EA54A25E70F}" type="presParOf" srcId="{82BEF859-0961-4425-83B3-257F547F8451}" destId="{BD34B7AA-9658-4152-BBED-A27FD5E89A41}" srcOrd="1" destOrd="0" presId="urn:microsoft.com/office/officeart/2008/layout/NameandTitleOrganizationalChart"/>
    <dgm:cxn modelId="{CD229E6C-89C6-4734-AC54-04910AE83EB7}" type="presParOf" srcId="{82BEF859-0961-4425-83B3-257F547F8451}" destId="{E08C3E3A-A52D-4887-9113-3CB06D2C9F56}" srcOrd="2" destOrd="0" presId="urn:microsoft.com/office/officeart/2008/layout/NameandTitleOrganizationalChart"/>
    <dgm:cxn modelId="{98FB87F6-7A80-4AA3-AAD1-F3C0700AAB53}" type="presParOf" srcId="{96FB808E-BD78-4FD5-B114-707168D38501}" destId="{0BA13456-F1FC-41C3-835B-82168F563B9E}" srcOrd="1" destOrd="0" presId="urn:microsoft.com/office/officeart/2008/layout/NameandTitleOrganizationalChart"/>
    <dgm:cxn modelId="{6005DFCB-AAB0-44B7-A276-BA9CAC16AE96}" type="presParOf" srcId="{0BA13456-F1FC-41C3-835B-82168F563B9E}" destId="{AB909B5F-2D3A-4F29-B30B-398DB7CFB786}" srcOrd="0" destOrd="0" presId="urn:microsoft.com/office/officeart/2008/layout/NameandTitleOrganizationalChart"/>
    <dgm:cxn modelId="{B347E129-FE93-4E6F-AAFF-B7782F02ABC9}" type="presParOf" srcId="{0BA13456-F1FC-41C3-835B-82168F563B9E}" destId="{5970F69E-A06D-4CDD-8845-5A4EF35A5719}" srcOrd="1" destOrd="0" presId="urn:microsoft.com/office/officeart/2008/layout/NameandTitleOrganizationalChart"/>
    <dgm:cxn modelId="{D2A11D5D-32DF-4F8F-A51B-AF9A3A4239EB}" type="presParOf" srcId="{5970F69E-A06D-4CDD-8845-5A4EF35A5719}" destId="{BE853455-ADE6-4A4E-A39A-08EBFF32C218}" srcOrd="0" destOrd="0" presId="urn:microsoft.com/office/officeart/2008/layout/NameandTitleOrganizationalChart"/>
    <dgm:cxn modelId="{6976BF81-B37A-4F6D-A9E2-12EA9EB0ABF6}" type="presParOf" srcId="{BE853455-ADE6-4A4E-A39A-08EBFF32C218}" destId="{A67779B0-FCC7-4240-982C-13E0A0146907}" srcOrd="0" destOrd="0" presId="urn:microsoft.com/office/officeart/2008/layout/NameandTitleOrganizationalChart"/>
    <dgm:cxn modelId="{1B928AF2-B7B9-4C56-8218-1BAF379ED136}" type="presParOf" srcId="{BE853455-ADE6-4A4E-A39A-08EBFF32C218}" destId="{216D2280-BE70-4B48-9318-8E7DBC8F66D5}" srcOrd="1" destOrd="0" presId="urn:microsoft.com/office/officeart/2008/layout/NameandTitleOrganizationalChart"/>
    <dgm:cxn modelId="{5B10D7A9-FAD7-45C6-8E15-A961F8A830CA}" type="presParOf" srcId="{BE853455-ADE6-4A4E-A39A-08EBFF32C218}" destId="{CE0DD52C-4C7A-4000-889C-4E5A61AC0B54}" srcOrd="2" destOrd="0" presId="urn:microsoft.com/office/officeart/2008/layout/NameandTitleOrganizationalChart"/>
    <dgm:cxn modelId="{53540063-E29E-407C-B04C-DF42CE2887A1}" type="presParOf" srcId="{5970F69E-A06D-4CDD-8845-5A4EF35A5719}" destId="{EC8DE54F-6BA6-48AB-9575-4513F1915F5F}" srcOrd="1" destOrd="0" presId="urn:microsoft.com/office/officeart/2008/layout/NameandTitleOrganizationalChart"/>
    <dgm:cxn modelId="{0D01912F-F46D-4136-A240-4FCA247D737F}" type="presParOf" srcId="{5970F69E-A06D-4CDD-8845-5A4EF35A5719}" destId="{BE963FC1-2807-45E0-8C40-842939DE8733}" srcOrd="2" destOrd="0" presId="urn:microsoft.com/office/officeart/2008/layout/NameandTitleOrganizationalChart"/>
    <dgm:cxn modelId="{76D64018-3CCC-469F-8DED-44C03D43C6EA}" type="presParOf" srcId="{96FB808E-BD78-4FD5-B114-707168D38501}" destId="{4BDFBCD1-81DE-4955-AAC1-9CDC18B6D791}" srcOrd="2" destOrd="0" presId="urn:microsoft.com/office/officeart/2008/layout/NameandTitleOrganizationalChart"/>
    <dgm:cxn modelId="{B3051F93-678E-4203-870A-CC5B1A19CD47}" type="presParOf" srcId="{4BDFBCD1-81DE-4955-AAC1-9CDC18B6D791}" destId="{347D6260-1830-4FE0-82C7-A1CC7AC7ADC1}" srcOrd="0" destOrd="0" presId="urn:microsoft.com/office/officeart/2008/layout/NameandTitleOrganizationalChart"/>
    <dgm:cxn modelId="{B3359B5C-C016-4484-8638-75CFAFA6FA9B}" type="presParOf" srcId="{4BDFBCD1-81DE-4955-AAC1-9CDC18B6D791}" destId="{4D172EC9-F4B5-4FCC-A329-5C93B22BEE65}" srcOrd="1" destOrd="0" presId="urn:microsoft.com/office/officeart/2008/layout/NameandTitleOrganizationalChart"/>
    <dgm:cxn modelId="{8193D6C0-8781-4B06-ABDE-4C64CB524C25}" type="presParOf" srcId="{4D172EC9-F4B5-4FCC-A329-5C93B22BEE65}" destId="{1CADA54D-EB36-475D-AB46-A7EC674C315C}" srcOrd="0" destOrd="0" presId="urn:microsoft.com/office/officeart/2008/layout/NameandTitleOrganizationalChart"/>
    <dgm:cxn modelId="{09AB78A4-917F-4A89-8AC2-664A77512C77}" type="presParOf" srcId="{1CADA54D-EB36-475D-AB46-A7EC674C315C}" destId="{6187A40C-7641-4C23-BCE4-F7F3B0AB2861}" srcOrd="0" destOrd="0" presId="urn:microsoft.com/office/officeart/2008/layout/NameandTitleOrganizationalChart"/>
    <dgm:cxn modelId="{6A07D053-BF2F-4FE3-A753-FA136806EF45}" type="presParOf" srcId="{1CADA54D-EB36-475D-AB46-A7EC674C315C}" destId="{515AF386-F8FF-45AE-9918-D519C650E29B}" srcOrd="1" destOrd="0" presId="urn:microsoft.com/office/officeart/2008/layout/NameandTitleOrganizationalChart"/>
    <dgm:cxn modelId="{FA5ED6F1-B25F-4DBC-8966-8830EAE1DCA9}" type="presParOf" srcId="{1CADA54D-EB36-475D-AB46-A7EC674C315C}" destId="{4C31D687-F8BB-48A8-9DE2-2DA3E272F1D1}" srcOrd="2" destOrd="0" presId="urn:microsoft.com/office/officeart/2008/layout/NameandTitleOrganizationalChart"/>
    <dgm:cxn modelId="{AE235355-3D0F-4989-93FB-F3095FDBC8A2}" type="presParOf" srcId="{4D172EC9-F4B5-4FCC-A329-5C93B22BEE65}" destId="{F9326B37-C8EB-4B08-9D6D-A9DA018F3DA3}" srcOrd="1" destOrd="0" presId="urn:microsoft.com/office/officeart/2008/layout/NameandTitleOrganizationalChart"/>
    <dgm:cxn modelId="{12DC4DA2-F53E-4229-8821-485A58897452}" type="presParOf" srcId="{4D172EC9-F4B5-4FCC-A329-5C93B22BEE65}" destId="{9D8ED61E-3508-4CE2-80A2-44DC14100915}"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7D6260-1830-4FE0-82C7-A1CC7AC7ADC1}">
      <dsp:nvSpPr>
        <dsp:cNvPr id="0" name=""/>
        <dsp:cNvSpPr/>
      </dsp:nvSpPr>
      <dsp:spPr>
        <a:xfrm>
          <a:off x="1243444" y="596465"/>
          <a:ext cx="258432" cy="686567"/>
        </a:xfrm>
        <a:custGeom>
          <a:avLst/>
          <a:gdLst/>
          <a:ahLst/>
          <a:cxnLst/>
          <a:rect l="0" t="0" r="0" b="0"/>
          <a:pathLst>
            <a:path>
              <a:moveTo>
                <a:pt x="258432" y="0"/>
              </a:moveTo>
              <a:lnTo>
                <a:pt x="258432" y="686567"/>
              </a:lnTo>
              <a:lnTo>
                <a:pt x="0" y="68656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B909B5F-2D3A-4F29-B30B-398DB7CFB786}">
      <dsp:nvSpPr>
        <dsp:cNvPr id="0" name=""/>
        <dsp:cNvSpPr/>
      </dsp:nvSpPr>
      <dsp:spPr>
        <a:xfrm>
          <a:off x="1398630" y="596465"/>
          <a:ext cx="91440" cy="1284054"/>
        </a:xfrm>
        <a:custGeom>
          <a:avLst/>
          <a:gdLst/>
          <a:ahLst/>
          <a:cxnLst/>
          <a:rect l="0" t="0" r="0" b="0"/>
          <a:pathLst>
            <a:path>
              <a:moveTo>
                <a:pt x="103246" y="0"/>
              </a:moveTo>
              <a:lnTo>
                <a:pt x="103246" y="1145059"/>
              </a:lnTo>
              <a:lnTo>
                <a:pt x="45720" y="1145059"/>
              </a:lnTo>
              <a:lnTo>
                <a:pt x="45720" y="128405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8F7D9D5-73FD-4050-B5CD-AE09D2F8D51F}">
      <dsp:nvSpPr>
        <dsp:cNvPr id="0" name=""/>
        <dsp:cNvSpPr/>
      </dsp:nvSpPr>
      <dsp:spPr>
        <a:xfrm>
          <a:off x="653121" y="770"/>
          <a:ext cx="1697509" cy="595695"/>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4059"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tx1"/>
              </a:solidFill>
              <a:latin typeface="Times New Roman" panose="02020603050405020304" pitchFamily="18" charset="0"/>
              <a:cs typeface="Times New Roman" panose="02020603050405020304" pitchFamily="18" charset="0"/>
            </a:rPr>
            <a:t>Administrations of studied medications given during study period in ED</a:t>
          </a:r>
        </a:p>
      </dsp:txBody>
      <dsp:txXfrm>
        <a:off x="653121" y="770"/>
        <a:ext cx="1697509" cy="595695"/>
      </dsp:txXfrm>
    </dsp:sp>
    <dsp:sp modelId="{BD34B7AA-9658-4152-BBED-A27FD5E89A41}">
      <dsp:nvSpPr>
        <dsp:cNvPr id="0" name=""/>
        <dsp:cNvSpPr/>
      </dsp:nvSpPr>
      <dsp:spPr>
        <a:xfrm>
          <a:off x="1173511" y="518344"/>
          <a:ext cx="1035480" cy="198565"/>
        </a:xfrm>
        <a:prstGeom prst="rect">
          <a:avLst/>
        </a:prstGeom>
        <a:solidFill>
          <a:schemeClr val="bg1">
            <a:lumMod val="75000"/>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n=606</a:t>
          </a:r>
        </a:p>
      </dsp:txBody>
      <dsp:txXfrm>
        <a:off x="1173511" y="518344"/>
        <a:ext cx="1035480" cy="198565"/>
      </dsp:txXfrm>
    </dsp:sp>
    <dsp:sp modelId="{A67779B0-FCC7-4240-982C-13E0A0146907}">
      <dsp:nvSpPr>
        <dsp:cNvPr id="0" name=""/>
        <dsp:cNvSpPr/>
      </dsp:nvSpPr>
      <dsp:spPr>
        <a:xfrm>
          <a:off x="869082" y="1880520"/>
          <a:ext cx="1150534" cy="595695"/>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4059"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tx1"/>
              </a:solidFill>
              <a:latin typeface="Times New Roman" panose="02020603050405020304" pitchFamily="18" charset="0"/>
              <a:cs typeface="Times New Roman" panose="02020603050405020304" pitchFamily="18" charset="0"/>
            </a:rPr>
            <a:t>Administrations that met criteria</a:t>
          </a:r>
        </a:p>
      </dsp:txBody>
      <dsp:txXfrm>
        <a:off x="869082" y="1880520"/>
        <a:ext cx="1150534" cy="595695"/>
      </dsp:txXfrm>
    </dsp:sp>
    <dsp:sp modelId="{216D2280-BE70-4B48-9318-8E7DBC8F66D5}">
      <dsp:nvSpPr>
        <dsp:cNvPr id="0" name=""/>
        <dsp:cNvSpPr/>
      </dsp:nvSpPr>
      <dsp:spPr>
        <a:xfrm>
          <a:off x="1099189" y="2343839"/>
          <a:ext cx="1035480" cy="198565"/>
        </a:xfrm>
        <a:prstGeom prst="rect">
          <a:avLst/>
        </a:prstGeom>
        <a:solidFill>
          <a:schemeClr val="bg1">
            <a:lumMod val="75000"/>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n=90</a:t>
          </a:r>
        </a:p>
      </dsp:txBody>
      <dsp:txXfrm>
        <a:off x="1099189" y="2343839"/>
        <a:ext cx="1035480" cy="198565"/>
      </dsp:txXfrm>
    </dsp:sp>
    <dsp:sp modelId="{6187A40C-7641-4C23-BCE4-F7F3B0AB2861}">
      <dsp:nvSpPr>
        <dsp:cNvPr id="0" name=""/>
        <dsp:cNvSpPr/>
      </dsp:nvSpPr>
      <dsp:spPr>
        <a:xfrm>
          <a:off x="92909" y="985185"/>
          <a:ext cx="1150534" cy="595695"/>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4059"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tx1"/>
              </a:solidFill>
              <a:latin typeface="Times New Roman" panose="02020603050405020304" pitchFamily="18" charset="0"/>
              <a:cs typeface="Times New Roman" panose="02020603050405020304" pitchFamily="18" charset="0"/>
            </a:rPr>
            <a:t>Administrations excluded</a:t>
          </a:r>
        </a:p>
      </dsp:txBody>
      <dsp:txXfrm>
        <a:off x="92909" y="985185"/>
        <a:ext cx="1150534" cy="595695"/>
      </dsp:txXfrm>
    </dsp:sp>
    <dsp:sp modelId="{515AF386-F8FF-45AE-9918-D519C650E29B}">
      <dsp:nvSpPr>
        <dsp:cNvPr id="0" name=""/>
        <dsp:cNvSpPr/>
      </dsp:nvSpPr>
      <dsp:spPr>
        <a:xfrm>
          <a:off x="327400" y="1403964"/>
          <a:ext cx="1035480" cy="198565"/>
        </a:xfrm>
        <a:prstGeom prst="rect">
          <a:avLst/>
        </a:prstGeom>
        <a:solidFill>
          <a:schemeClr val="bg1">
            <a:lumMod val="75000"/>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n=516</a:t>
          </a:r>
        </a:p>
      </dsp:txBody>
      <dsp:txXfrm>
        <a:off x="327400" y="1403964"/>
        <a:ext cx="1035480" cy="19856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0.43684</cdr:x>
      <cdr:y>0.82777</cdr:y>
    </cdr:from>
    <cdr:to>
      <cdr:x>0.71846</cdr:x>
      <cdr:y>0.90042</cdr:y>
    </cdr:to>
    <cdr:sp macro="" textlink="">
      <cdr:nvSpPr>
        <cdr:cNvPr id="2" name="TextBox 1">
          <a:extLst xmlns:a="http://schemas.openxmlformats.org/drawingml/2006/main">
            <a:ext uri="{FF2B5EF4-FFF2-40B4-BE49-F238E27FC236}">
              <a16:creationId xmlns:a16="http://schemas.microsoft.com/office/drawing/2014/main" id="{84E7AE6C-FA7F-0791-0109-B6B86558FBE1}"/>
            </a:ext>
          </a:extLst>
        </cdr:cNvPr>
        <cdr:cNvSpPr txBox="1"/>
      </cdr:nvSpPr>
      <cdr:spPr>
        <a:xfrm xmlns:a="http://schemas.openxmlformats.org/drawingml/2006/main">
          <a:off x="2596402" y="3029754"/>
          <a:ext cx="1673837" cy="2658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dirty="0">
              <a:latin typeface="Times New Roman" panose="02020603050405020304" pitchFamily="18" charset="0"/>
              <a:cs typeface="Times New Roman" panose="02020603050405020304" pitchFamily="18" charset="0"/>
            </a:rPr>
            <a:t>n=90 administrations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B1FDC-2114-46A0-A065-E6612AF51416}">
  <ds:schemaRefs>
    <ds:schemaRef ds:uri="http://purl.org/dc/terms/"/>
    <ds:schemaRef ds:uri="http://schemas.openxmlformats.org/package/2006/metadata/core-properties"/>
    <ds:schemaRef ds:uri="http://purl.org/dc/dcmitype/"/>
    <ds:schemaRef ds:uri="http://schemas.microsoft.com/office/infopath/2007/PartnerControls"/>
    <ds:schemaRef ds:uri="7b1a086d-1046-423b-818b-e2fe3b4bdd27"/>
    <ds:schemaRef ds:uri="http://purl.org/dc/elements/1.1/"/>
    <ds:schemaRef ds:uri="http://schemas.microsoft.com/office/2006/metadata/properties"/>
    <ds:schemaRef ds:uri="http://schemas.microsoft.com/office/2006/documentManagement/types"/>
    <ds:schemaRef ds:uri="ef2d8ab9-6557-4a70-afe1-6c5f1feb8807"/>
    <ds:schemaRef ds:uri="http://www.w3.org/XML/1998/namespace"/>
  </ds:schemaRefs>
</ds:datastoreItem>
</file>

<file path=customXml/itemProps2.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EFAA6-1CF3-4AAA-A0B2-E0F30129AC71}">
  <ds:schemaRefs>
    <ds:schemaRef ds:uri="http://schemas.openxmlformats.org/officeDocument/2006/bibliography"/>
  </ds:schemaRefs>
</ds:datastoreItem>
</file>

<file path=customXml/itemProps4.xml><?xml version="1.0" encoding="utf-8"?>
<ds:datastoreItem xmlns:ds="http://schemas.openxmlformats.org/officeDocument/2006/customXml" ds:itemID="{478AEEE9-AC45-4FA1-9978-A76AA3BFDEC3}">
  <ds:schemaRefs>
    <ds:schemaRef ds:uri="http://schemas.microsoft.com/sharepoint/v3/contenttype/forms"/>
  </ds:schemaRefs>
</ds:datastoreItem>
</file>

<file path=docMetadata/LabelInfo.xml><?xml version="1.0" encoding="utf-8"?>
<clbl:labelList xmlns:clbl="http://schemas.microsoft.com/office/2020/mipLabelMetadata">
  <clbl:label id="{e0bf4a25-d6ff-4fe0-a6c0-b2381f3b4b35}" enabled="1" method="Standard" siteId="{54115126-19c9-4b52-84ab-b746e438359a}" contentBits="0" removed="0"/>
</clbl:labelList>
</file>

<file path=docProps/app.xml><?xml version="1.0" encoding="utf-8"?>
<Properties xmlns="http://schemas.openxmlformats.org/officeDocument/2006/extended-properties" xmlns:vt="http://schemas.openxmlformats.org/officeDocument/2006/docPropsVTypes">
  <Template>IOPP-WordTemplateLarge</Template>
  <TotalTime>6</TotalTime>
  <Pages>6</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Benjamin Mossholder</cp:lastModifiedBy>
  <cp:revision>2</cp:revision>
  <dcterms:created xsi:type="dcterms:W3CDTF">2024-07-02T18:54:00Z</dcterms:created>
  <dcterms:modified xsi:type="dcterms:W3CDTF">2024-07-02T18:54:00Z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